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197F7" w14:textId="77777777" w:rsidR="00382D16" w:rsidRPr="00155C54" w:rsidRDefault="00CB3665" w:rsidP="00E271E2">
      <w:pPr>
        <w:spacing w:after="0" w:line="240" w:lineRule="auto"/>
        <w:jc w:val="both"/>
      </w:pPr>
      <w:r w:rsidRPr="00155C54">
        <w:rPr>
          <w:noProof/>
          <w:lang w:val="en-US"/>
        </w:rPr>
        <mc:AlternateContent>
          <mc:Choice Requires="wps">
            <w:drawing>
              <wp:anchor distT="45720" distB="45720" distL="114300" distR="114300" simplePos="0" relativeHeight="251657216" behindDoc="0" locked="0" layoutInCell="1" allowOverlap="1" wp14:anchorId="6F03D464" wp14:editId="449B062B">
                <wp:simplePos x="0" y="0"/>
                <wp:positionH relativeFrom="column">
                  <wp:posOffset>200660</wp:posOffset>
                </wp:positionH>
                <wp:positionV relativeFrom="paragraph">
                  <wp:posOffset>5316220</wp:posOffset>
                </wp:positionV>
                <wp:extent cx="283210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100" cy="330200"/>
                        </a:xfrm>
                        <a:prstGeom prst="rect">
                          <a:avLst/>
                        </a:prstGeom>
                        <a:noFill/>
                        <a:ln w="9525">
                          <a:noFill/>
                          <a:miter lim="800000"/>
                          <a:headEnd/>
                          <a:tailEnd/>
                        </a:ln>
                      </wps:spPr>
                      <wps:txbx>
                        <w:txbxContent>
                          <w:p w14:paraId="701CC754" w14:textId="1F0DC158" w:rsidR="00AF54DE" w:rsidRPr="002D2ADB" w:rsidRDefault="00AF54DE" w:rsidP="00CB3665">
                            <w:pPr>
                              <w:jc w:val="center"/>
                              <w:rPr>
                                <w:rFonts w:ascii="Poppins Black" w:hAnsi="Poppins Black" w:cs="Poppins Black"/>
                                <w:color w:val="FFFFFF"/>
                                <w:sz w:val="18"/>
                                <w:szCs w:val="18"/>
                              </w:rPr>
                            </w:pPr>
                            <w:r w:rsidRPr="00155C54">
                              <w:rPr>
                                <w:rFonts w:ascii="Poppins Black" w:hAnsi="Poppins Black" w:cs="Poppins Black"/>
                                <w:color w:val="FFFFFF"/>
                                <w:sz w:val="18"/>
                                <w:szCs w:val="18"/>
                              </w:rPr>
                              <w:t>Recibido:      Aceptado:</w:t>
                            </w:r>
                            <w:r w:rsidR="00155C54">
                              <w:rPr>
                                <w:rFonts w:ascii="Poppins Black" w:hAnsi="Poppins Black" w:cs="Poppins Black"/>
                                <w:color w:val="FFFFFF"/>
                                <w:sz w:val="18"/>
                                <w:szCs w:val="18"/>
                              </w:rPr>
                              <w:t xml:space="preserve"> 22-03-2025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03D464" id="_x0000_t202" coordsize="21600,21600" o:spt="202" path="m,l,21600r21600,l21600,xe">
                <v:stroke joinstyle="miter"/>
                <v:path gradientshapeok="t" o:connecttype="rect"/>
              </v:shapetype>
              <v:shape id="Cuadro de texto 13" o:spid="_x0000_s1026" type="#_x0000_t202" style="position:absolute;left:0;text-align:left;margin-left:15.8pt;margin-top:418.6pt;width:223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" filled="f" stroked="f">
                <v:textbox>
                  <w:txbxContent>
                    <w:p w14:paraId="701CC754" w14:textId="1F0DC158" w:rsidR="00AF54DE" w:rsidRPr="002D2ADB" w:rsidRDefault="00AF54DE" w:rsidP="00CB3665">
                      <w:pPr>
                        <w:jc w:val="center"/>
                        <w:rPr>
                          <w:rFonts w:ascii="Poppins Black" w:hAnsi="Poppins Black" w:cs="Poppins Black"/>
                          <w:color w:val="FFFFFF"/>
                          <w:sz w:val="18"/>
                          <w:szCs w:val="18"/>
                        </w:rPr>
                      </w:pPr>
                      <w:r w:rsidRPr="00155C54">
                        <w:rPr>
                          <w:rFonts w:ascii="Poppins Black" w:hAnsi="Poppins Black" w:cs="Poppins Black"/>
                          <w:color w:val="FFFFFF"/>
                          <w:sz w:val="18"/>
                          <w:szCs w:val="18"/>
                        </w:rPr>
                        <w:t>Recibido:      Aceptado:</w:t>
                      </w:r>
                      <w:r w:rsidR="00155C54">
                        <w:rPr>
                          <w:rFonts w:ascii="Poppins Black" w:hAnsi="Poppins Black" w:cs="Poppins Black"/>
                          <w:color w:val="FFFFFF"/>
                          <w:sz w:val="18"/>
                          <w:szCs w:val="18"/>
                        </w:rPr>
                        <w:t xml:space="preserve"> 22-03-2025</w:t>
                      </w:r>
                    </w:p>
                  </w:txbxContent>
                </v:textbox>
                <w10:wrap type="square"/>
              </v:shape>
            </w:pict>
          </mc:Fallback>
        </mc:AlternateContent>
      </w:r>
      <w:r w:rsidRPr="00155C54">
        <w:rPr>
          <w:noProof/>
          <w:lang w:val="en-US"/>
        </w:rPr>
        <mc:AlternateContent>
          <mc:Choice Requires="wpg">
            <w:drawing>
              <wp:anchor distT="0" distB="0" distL="457200" distR="457200" simplePos="0" relativeHeight="251656192" behindDoc="0" locked="0" layoutInCell="1" allowOverlap="1" wp14:anchorId="43284AF3" wp14:editId="44DC0B65">
                <wp:simplePos x="0" y="0"/>
                <wp:positionH relativeFrom="page">
                  <wp:posOffset>393700</wp:posOffset>
                </wp:positionH>
                <wp:positionV relativeFrom="page">
                  <wp:posOffset>12700</wp:posOffset>
                </wp:positionV>
                <wp:extent cx="5873750" cy="6705600"/>
                <wp:effectExtent l="0" t="0" r="1270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73750" cy="6705600"/>
                          <a:chOff x="227566" y="0"/>
                          <a:chExt cx="8942188"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7951877" cy="2292684"/>
                          </a:xfrm>
                          <a:prstGeom prst="rect">
                            <a:avLst/>
                          </a:prstGeom>
                          <a:noFill/>
                          <a:ln w="6350">
                            <a:noFill/>
                          </a:ln>
                          <a:effectLst/>
                        </wps:spPr>
                        <wps:txbx>
                          <w:txbxContent>
                            <w:p w14:paraId="7F29B6EE" w14:textId="77777777" w:rsidR="00AF54DE" w:rsidRPr="00CB3665" w:rsidRDefault="00AF54DE" w:rsidP="002C6E3D">
                              <w:pPr>
                                <w:spacing w:after="0" w:line="240" w:lineRule="auto"/>
                                <w:jc w:val="both"/>
                                <w:rPr>
                                  <w:rFonts w:ascii="Poppins Black" w:hAnsi="Poppins Black" w:cs="Poppins Black"/>
                                  <w:b/>
                                  <w:color w:val="DEEAF6"/>
                                  <w:sz w:val="36"/>
                                  <w:szCs w:val="36"/>
                                  <w:lang w:val="es-PE"/>
                                </w:rPr>
                              </w:pPr>
                              <w:bookmarkStart w:id="0" w:name="_Hlk193876395"/>
                              <w:r w:rsidRPr="00CB3665">
                                <w:rPr>
                                  <w:rFonts w:ascii="Poppins Black" w:hAnsi="Poppins Black" w:cs="Poppins Black"/>
                                  <w:b/>
                                  <w:color w:val="DEEAF6"/>
                                  <w:sz w:val="36"/>
                                  <w:szCs w:val="36"/>
                                  <w:lang w:val="es-ES"/>
                                </w:rPr>
                                <w:t>Impacto de la contratación pública en la gestión de proyectos en Latinoamérica: una revisión sistemática</w:t>
                              </w:r>
                            </w:p>
                            <w:bookmarkEnd w:id="0"/>
                            <w:p w14:paraId="7E5BB301" w14:textId="77777777" w:rsidR="00AF54DE" w:rsidRPr="002D2ADB" w:rsidRDefault="00AF54DE" w:rsidP="002C6E3D">
                              <w:pPr>
                                <w:spacing w:after="0" w:line="240" w:lineRule="auto"/>
                                <w:jc w:val="both"/>
                                <w:rPr>
                                  <w:rFonts w:ascii="Poppins Black" w:hAnsi="Poppins Black" w:cs="Poppins Black"/>
                                  <w:color w:val="DEEAF6"/>
                                  <w:sz w:val="44"/>
                                  <w:szCs w:val="44"/>
                                  <w:lang w:val="en-US"/>
                                </w:rPr>
                              </w:pPr>
                              <w:r w:rsidRPr="00CB3665">
                                <w:rPr>
                                  <w:rFonts w:ascii="Poppins Black" w:hAnsi="Poppins Black" w:cs="Poppins Black"/>
                                  <w:color w:val="DEEAF6"/>
                                  <w:sz w:val="28"/>
                                  <w:szCs w:val="28"/>
                                  <w:lang w:val="en-US"/>
                                </w:rPr>
                                <w:t>Impact of public procurement on project management in Latin America: a systematic review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43284AF3" id="Grupo 11" o:spid="_x0000_s1027" style="position:absolute;left:0;text-align:left;margin-left:31pt;margin-top:1pt;width:462.5pt;height:528pt;z-index:251656192;mso-wrap-distance-left:36pt;mso-wrap-distance-right:36pt;mso-position-horizontal-relative:page;mso-position-vertical-relative:page;mso-width-relative:margin" coordorigin="2275" coordsize="89421,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">
                <v:shape id="Rectángulo 5" o:spid="_x0000_s1028"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29" type="#_x0000_t202" style="position:absolute;left:12178;top:5688;width:79519;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7F29B6EE" w14:textId="77777777" w:rsidR="00AF54DE" w:rsidRPr="00CB3665" w:rsidRDefault="00AF54DE" w:rsidP="002C6E3D">
                        <w:pPr>
                          <w:spacing w:after="0" w:line="240" w:lineRule="auto"/>
                          <w:jc w:val="both"/>
                          <w:rPr>
                            <w:rFonts w:ascii="Poppins Black" w:hAnsi="Poppins Black" w:cs="Poppins Black"/>
                            <w:b/>
                            <w:color w:val="DEEAF6"/>
                            <w:sz w:val="36"/>
                            <w:szCs w:val="36"/>
                            <w:lang w:val="es-PE"/>
                          </w:rPr>
                        </w:pPr>
                        <w:bookmarkStart w:id="1" w:name="_Hlk193876395"/>
                        <w:r w:rsidRPr="00CB3665">
                          <w:rPr>
                            <w:rFonts w:ascii="Poppins Black" w:hAnsi="Poppins Black" w:cs="Poppins Black"/>
                            <w:b/>
                            <w:color w:val="DEEAF6"/>
                            <w:sz w:val="36"/>
                            <w:szCs w:val="36"/>
                            <w:lang w:val="es-ES"/>
                          </w:rPr>
                          <w:t>Impacto de la contratación pública en la gestión de proyectos en Latinoamérica: una revisión sistemática</w:t>
                        </w:r>
                      </w:p>
                      <w:bookmarkEnd w:id="1"/>
                      <w:p w14:paraId="7E5BB301" w14:textId="77777777" w:rsidR="00AF54DE" w:rsidRPr="002D2ADB" w:rsidRDefault="00AF54DE" w:rsidP="002C6E3D">
                        <w:pPr>
                          <w:spacing w:after="0" w:line="240" w:lineRule="auto"/>
                          <w:jc w:val="both"/>
                          <w:rPr>
                            <w:rFonts w:ascii="Poppins Black" w:hAnsi="Poppins Black" w:cs="Poppins Black"/>
                            <w:color w:val="DEEAF6"/>
                            <w:sz w:val="44"/>
                            <w:szCs w:val="44"/>
                            <w:lang w:val="en-US"/>
                          </w:rPr>
                        </w:pPr>
                        <w:r w:rsidRPr="00CB3665">
                          <w:rPr>
                            <w:rFonts w:ascii="Poppins Black" w:hAnsi="Poppins Black" w:cs="Poppins Black"/>
                            <w:color w:val="DEEAF6"/>
                            <w:sz w:val="28"/>
                            <w:szCs w:val="28"/>
                            <w:lang w:val="en-US"/>
                          </w:rPr>
                          <w:t>Impact of public procurement on project management in Latin America: a systematic review</w:t>
                        </w:r>
                      </w:p>
                    </w:txbxContent>
                  </v:textbox>
                </v:shape>
                <w10:wrap type="square" anchorx="page" anchory="page"/>
              </v:group>
            </w:pict>
          </mc:Fallback>
        </mc:AlternateContent>
      </w:r>
      <w:r w:rsidR="00A17E32" w:rsidRPr="00155C54">
        <w:rPr>
          <w:noProof/>
          <w:lang w:val="en-US"/>
        </w:rPr>
        <mc:AlternateContent>
          <mc:Choice Requires="wps">
            <w:drawing>
              <wp:anchor distT="45720" distB="45720" distL="114300" distR="114300" simplePos="0" relativeHeight="251660288" behindDoc="0" locked="0" layoutInCell="1" allowOverlap="1" wp14:anchorId="7AF44E4C" wp14:editId="096CC667">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5A68D1C4" w14:textId="77777777" w:rsidR="00AF54DE" w:rsidRPr="002D2ADB" w:rsidRDefault="00AF54DE"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F44E4C" id="Cuadro de texto 19" o:spid="_x0000_s1030"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" filled="f" stroked="f">
                <v:textbox>
                  <w:txbxContent>
                    <w:p w14:paraId="5A68D1C4" w14:textId="77777777" w:rsidR="00AF54DE" w:rsidRPr="002D2ADB" w:rsidRDefault="00AF54DE"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v:textbox>
                <w10:wrap type="square"/>
              </v:shape>
            </w:pict>
          </mc:Fallback>
        </mc:AlternateContent>
      </w:r>
      <w:r w:rsidR="00A17E32" w:rsidRPr="00155C54">
        <w:rPr>
          <w:noProof/>
          <w:lang w:val="en-US"/>
        </w:rPr>
        <w:drawing>
          <wp:anchor distT="0" distB="0" distL="114300" distR="114300" simplePos="0" relativeHeight="251661312" behindDoc="1" locked="0" layoutInCell="1" allowOverlap="1" wp14:anchorId="2D041C96" wp14:editId="11C95EB1">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155C54">
        <w:rPr>
          <w:noProof/>
          <w:lang w:val="en-US"/>
        </w:rPr>
        <mc:AlternateContent>
          <mc:Choice Requires="wps">
            <w:drawing>
              <wp:anchor distT="0" distB="0" distL="114300" distR="114300" simplePos="0" relativeHeight="251654144" behindDoc="0" locked="0" layoutInCell="1" allowOverlap="1" wp14:anchorId="7542689D" wp14:editId="0FB457B5">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5C75F"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155C54">
        <w:rPr>
          <w:noProof/>
          <w:lang w:val="en-US"/>
        </w:rPr>
        <mc:AlternateContent>
          <mc:Choice Requires="wps">
            <w:drawing>
              <wp:anchor distT="0" distB="0" distL="114300" distR="114300" simplePos="0" relativeHeight="251655168" behindDoc="0" locked="0" layoutInCell="1" allowOverlap="1" wp14:anchorId="14957A39" wp14:editId="457E8A6A">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09134"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p>
    <w:p w14:paraId="52AFA8D5" w14:textId="77777777" w:rsidR="00CB3665" w:rsidRPr="00155C54" w:rsidRDefault="00CB3665" w:rsidP="00E271E2">
      <w:pPr>
        <w:spacing w:after="0" w:line="240" w:lineRule="auto"/>
        <w:jc w:val="both"/>
        <w:rPr>
          <w:rFonts w:ascii="Arial" w:hAnsi="Arial" w:cs="Arial"/>
          <w:b/>
          <w:bCs/>
        </w:rPr>
      </w:pPr>
    </w:p>
    <w:p w14:paraId="37ECE5DF" w14:textId="77777777" w:rsidR="00CB3665" w:rsidRPr="00155C54" w:rsidRDefault="00CB3665" w:rsidP="00E271E2">
      <w:pPr>
        <w:spacing w:after="0" w:line="240" w:lineRule="auto"/>
        <w:jc w:val="both"/>
        <w:rPr>
          <w:rFonts w:ascii="Arial" w:hAnsi="Arial" w:cs="Arial"/>
          <w:b/>
          <w:bCs/>
        </w:rPr>
      </w:pPr>
    </w:p>
    <w:p w14:paraId="163B6478" w14:textId="77777777" w:rsidR="00CB3665" w:rsidRPr="00155C54" w:rsidRDefault="00CB3665" w:rsidP="00E271E2">
      <w:pPr>
        <w:spacing w:after="0" w:line="240" w:lineRule="auto"/>
        <w:jc w:val="both"/>
        <w:rPr>
          <w:rFonts w:ascii="Arial" w:hAnsi="Arial" w:cs="Arial"/>
          <w:b/>
          <w:bCs/>
        </w:rPr>
      </w:pPr>
    </w:p>
    <w:p w14:paraId="7F8A1BDE" w14:textId="77777777" w:rsidR="00CB3665" w:rsidRPr="00155C54" w:rsidRDefault="00CB3665" w:rsidP="00E271E2">
      <w:pPr>
        <w:spacing w:after="0" w:line="240" w:lineRule="auto"/>
        <w:jc w:val="both"/>
        <w:rPr>
          <w:rFonts w:ascii="Arial" w:hAnsi="Arial" w:cs="Arial"/>
          <w:b/>
          <w:bCs/>
        </w:rPr>
      </w:pPr>
    </w:p>
    <w:p w14:paraId="705C1067" w14:textId="77777777" w:rsidR="00CB3665" w:rsidRPr="00155C54" w:rsidRDefault="00CB3665" w:rsidP="00E271E2">
      <w:pPr>
        <w:spacing w:after="0" w:line="240" w:lineRule="auto"/>
        <w:jc w:val="both"/>
        <w:rPr>
          <w:rFonts w:ascii="Arial" w:hAnsi="Arial" w:cs="Arial"/>
          <w:b/>
          <w:bCs/>
        </w:rPr>
      </w:pPr>
    </w:p>
    <w:p w14:paraId="16EE29E5" w14:textId="0C568894" w:rsidR="00CB3665" w:rsidRPr="00155C54" w:rsidRDefault="00CB3665" w:rsidP="00E271E2">
      <w:pPr>
        <w:spacing w:after="0" w:line="240" w:lineRule="auto"/>
        <w:jc w:val="both"/>
        <w:rPr>
          <w:rFonts w:ascii="Arial" w:hAnsi="Arial" w:cs="Arial"/>
          <w:b/>
          <w:bCs/>
        </w:rPr>
      </w:pPr>
    </w:p>
    <w:p w14:paraId="49C9EE03" w14:textId="2D2555BA" w:rsidR="00CB3665" w:rsidRPr="00155C54" w:rsidRDefault="007877FE" w:rsidP="00E271E2">
      <w:pPr>
        <w:spacing w:after="0" w:line="240" w:lineRule="auto"/>
        <w:jc w:val="both"/>
        <w:rPr>
          <w:rFonts w:ascii="Arial" w:hAnsi="Arial" w:cs="Arial"/>
          <w:b/>
          <w:bCs/>
        </w:rPr>
      </w:pPr>
      <w:r w:rsidRPr="00155C54">
        <w:rPr>
          <w:noProof/>
          <w:lang w:val="en-US"/>
        </w:rPr>
        <mc:AlternateContent>
          <mc:Choice Requires="wps">
            <w:drawing>
              <wp:anchor distT="45720" distB="45720" distL="114300" distR="114300" simplePos="0" relativeHeight="251659264" behindDoc="0" locked="0" layoutInCell="1" allowOverlap="1" wp14:anchorId="2290D6B5" wp14:editId="1E803A5F">
                <wp:simplePos x="0" y="0"/>
                <wp:positionH relativeFrom="column">
                  <wp:posOffset>2811780</wp:posOffset>
                </wp:positionH>
                <wp:positionV relativeFrom="paragraph">
                  <wp:posOffset>148590</wp:posOffset>
                </wp:positionV>
                <wp:extent cx="3187700" cy="3886200"/>
                <wp:effectExtent l="0" t="0" r="0" b="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0A8B7026" w14:textId="77777777" w:rsidR="00AF54DE" w:rsidRDefault="00AF54DE" w:rsidP="001A7F1D">
                            <w:pPr>
                              <w:spacing w:after="0" w:line="240" w:lineRule="auto"/>
                              <w:jc w:val="right"/>
                              <w:rPr>
                                <w:rFonts w:ascii="Prompt" w:hAnsi="Prompt" w:cs="Prompt"/>
                                <w:color w:val="63AEBD"/>
                              </w:rPr>
                            </w:pPr>
                          </w:p>
                          <w:p w14:paraId="225A095F" w14:textId="77777777" w:rsidR="00AF54DE" w:rsidRDefault="00AF54DE" w:rsidP="007877FE">
                            <w:pPr>
                              <w:spacing w:after="0" w:line="240" w:lineRule="auto"/>
                              <w:jc w:val="right"/>
                              <w:rPr>
                                <w:rFonts w:ascii="Prompt" w:hAnsi="Prompt" w:cs="Prompt"/>
                                <w:color w:val="63AEBD"/>
                              </w:rPr>
                            </w:pPr>
                            <w:bookmarkStart w:id="2" w:name="_Hlk193876437"/>
                            <w:r w:rsidRPr="00CB3665">
                              <w:rPr>
                                <w:rFonts w:ascii="Prompt" w:hAnsi="Prompt" w:cs="Prompt"/>
                                <w:color w:val="63AEBD"/>
                              </w:rPr>
                              <w:t xml:space="preserve">Katia Ormeño </w:t>
                            </w:r>
                            <w:proofErr w:type="spellStart"/>
                            <w:r w:rsidRPr="00CB3665">
                              <w:rPr>
                                <w:rFonts w:ascii="Prompt" w:hAnsi="Prompt" w:cs="Prompt"/>
                                <w:color w:val="63AEBD"/>
                              </w:rPr>
                              <w:t>Yomona</w:t>
                            </w:r>
                            <w:proofErr w:type="spellEnd"/>
                            <w:r w:rsidRPr="00CB3665">
                              <w:rPr>
                                <w:rFonts w:ascii="Prompt" w:hAnsi="Prompt" w:cs="Prompt"/>
                                <w:color w:val="63AEBD"/>
                              </w:rPr>
                              <w:t xml:space="preserve"> de Alcalde</w:t>
                            </w:r>
                          </w:p>
                          <w:bookmarkEnd w:id="2"/>
                          <w:p w14:paraId="73264862" w14:textId="77777777" w:rsidR="00AF54DE" w:rsidRPr="00CB3665" w:rsidRDefault="00AF54DE" w:rsidP="007877FE">
                            <w:pPr>
                              <w:spacing w:after="0" w:line="240" w:lineRule="auto"/>
                              <w:jc w:val="right"/>
                              <w:rPr>
                                <w:rFonts w:ascii="Prompt" w:hAnsi="Prompt" w:cs="Prompt"/>
                                <w:color w:val="FFFFFF" w:themeColor="background1"/>
                              </w:rPr>
                            </w:pPr>
                            <w:r w:rsidRPr="00CB3665">
                              <w:rPr>
                                <w:rFonts w:ascii="Prompt" w:hAnsi="Prompt" w:cs="Prompt"/>
                                <w:color w:val="FFFFFF" w:themeColor="background1"/>
                              </w:rPr>
                              <w:t>https://orcid.org/0009-0009-6537-7507</w:t>
                            </w:r>
                          </w:p>
                          <w:p w14:paraId="1EB3C21D" w14:textId="77777777" w:rsidR="00AF54DE" w:rsidRPr="00CB3665" w:rsidRDefault="00AF54DE" w:rsidP="007877FE">
                            <w:pPr>
                              <w:spacing w:after="0" w:line="240" w:lineRule="auto"/>
                              <w:jc w:val="right"/>
                              <w:rPr>
                                <w:rFonts w:ascii="Prompt" w:hAnsi="Prompt" w:cs="Prompt"/>
                                <w:color w:val="FFFFFF" w:themeColor="background1"/>
                              </w:rPr>
                            </w:pPr>
                            <w:r w:rsidRPr="00CB3665">
                              <w:rPr>
                                <w:rFonts w:ascii="Prompt" w:hAnsi="Prompt" w:cs="Prompt"/>
                                <w:color w:val="FFFFFF" w:themeColor="background1"/>
                              </w:rPr>
                              <w:t>oormenoal2979@ucvvirtual.edu.pe</w:t>
                            </w:r>
                          </w:p>
                          <w:p w14:paraId="712AA0FB" w14:textId="77777777" w:rsidR="00AF54DE" w:rsidRDefault="00AF54DE" w:rsidP="007877FE">
                            <w:pPr>
                              <w:spacing w:after="0" w:line="240" w:lineRule="auto"/>
                              <w:jc w:val="right"/>
                              <w:rPr>
                                <w:rFonts w:ascii="Prompt" w:hAnsi="Prompt" w:cs="Prompt"/>
                                <w:color w:val="63AEBD"/>
                              </w:rPr>
                            </w:pPr>
                            <w:r>
                              <w:rPr>
                                <w:rFonts w:ascii="Prompt" w:hAnsi="Prompt" w:cs="Prompt"/>
                                <w:color w:val="63AEBD"/>
                              </w:rPr>
                              <w:t xml:space="preserve">Universidad César Vallejo. </w:t>
                            </w:r>
                            <w:r w:rsidRPr="00CB3665">
                              <w:rPr>
                                <w:rFonts w:ascii="Prompt" w:hAnsi="Prompt" w:cs="Prompt"/>
                                <w:color w:val="63AEBD"/>
                              </w:rPr>
                              <w:t>Lima-Perú</w:t>
                            </w:r>
                          </w:p>
                          <w:p w14:paraId="0B6EC435" w14:textId="77777777" w:rsidR="00AF54DE" w:rsidRPr="007877FE" w:rsidRDefault="00AF54DE" w:rsidP="001A7F1D">
                            <w:pPr>
                              <w:spacing w:after="0" w:line="240" w:lineRule="auto"/>
                              <w:jc w:val="right"/>
                              <w:rPr>
                                <w:rFonts w:ascii="Prompt" w:hAnsi="Prompt" w:cs="Prompt"/>
                                <w:color w:val="63AEBD"/>
                                <w:lang w:val="es-MX"/>
                              </w:rPr>
                            </w:pPr>
                          </w:p>
                          <w:p w14:paraId="3369E505" w14:textId="44B4C9B0" w:rsidR="00AF54DE" w:rsidRPr="007877FE" w:rsidRDefault="00155C54" w:rsidP="001A7F1D">
                            <w:pPr>
                              <w:spacing w:after="0" w:line="240" w:lineRule="auto"/>
                              <w:jc w:val="right"/>
                              <w:rPr>
                                <w:rFonts w:ascii="Prompt" w:hAnsi="Prompt" w:cs="Prompt"/>
                                <w:color w:val="63AEBD"/>
                                <w:lang w:val="es-MX"/>
                              </w:rPr>
                            </w:pPr>
                            <w:bookmarkStart w:id="3" w:name="_Hlk193876481"/>
                            <w:r w:rsidRPr="007877FE">
                              <w:rPr>
                                <w:rFonts w:ascii="Prompt" w:hAnsi="Prompt" w:cs="Prompt"/>
                                <w:color w:val="63AEBD"/>
                                <w:lang w:val="es-MX"/>
                              </w:rPr>
                              <w:t>Josué</w:t>
                            </w:r>
                            <w:r w:rsidR="00AF54DE" w:rsidRPr="007877FE">
                              <w:rPr>
                                <w:rFonts w:ascii="Prompt" w:hAnsi="Prompt" w:cs="Prompt"/>
                                <w:color w:val="63AEBD"/>
                                <w:lang w:val="es-MX"/>
                              </w:rPr>
                              <w:t xml:space="preserve"> Nina-Cuchillo</w:t>
                            </w:r>
                          </w:p>
                          <w:bookmarkEnd w:id="3"/>
                          <w:p w14:paraId="0083BA66" w14:textId="77777777" w:rsidR="00AF54DE" w:rsidRPr="007877FE" w:rsidRDefault="00AF54DE" w:rsidP="00CB3665">
                            <w:pPr>
                              <w:spacing w:after="0" w:line="240" w:lineRule="auto"/>
                              <w:jc w:val="right"/>
                              <w:rPr>
                                <w:rFonts w:ascii="Prompt" w:hAnsi="Prompt" w:cs="Prompt"/>
                                <w:color w:val="FFFFFF" w:themeColor="background1"/>
                                <w:lang w:val="es-MX"/>
                              </w:rPr>
                            </w:pPr>
                            <w:r w:rsidRPr="007877FE">
                              <w:rPr>
                                <w:rFonts w:ascii="Prompt" w:hAnsi="Prompt" w:cs="Prompt"/>
                                <w:color w:val="FFFFFF" w:themeColor="background1"/>
                                <w:lang w:val="es-MX"/>
                              </w:rPr>
                              <w:t>https://orcid.org/0000-0002-2217-9713</w:t>
                            </w:r>
                          </w:p>
                          <w:p w14:paraId="58929CC4" w14:textId="77777777" w:rsidR="00AF54DE" w:rsidRPr="007877FE" w:rsidRDefault="00AF54DE" w:rsidP="00CB3665">
                            <w:pPr>
                              <w:spacing w:after="0" w:line="240" w:lineRule="auto"/>
                              <w:jc w:val="right"/>
                              <w:rPr>
                                <w:rFonts w:ascii="Prompt" w:hAnsi="Prompt" w:cs="Prompt"/>
                                <w:color w:val="FFFFFF" w:themeColor="background1"/>
                                <w:lang w:val="es-MX"/>
                              </w:rPr>
                            </w:pPr>
                            <w:r w:rsidRPr="007877FE">
                              <w:rPr>
                                <w:rFonts w:ascii="Prompt" w:hAnsi="Prompt" w:cs="Prompt"/>
                                <w:color w:val="FFFFFF" w:themeColor="background1"/>
                                <w:lang w:val="es-MX"/>
                              </w:rPr>
                              <w:t>josueninacuchillo@gmail.com</w:t>
                            </w:r>
                          </w:p>
                          <w:p w14:paraId="0B94F083" w14:textId="77777777" w:rsidR="00AF54DE" w:rsidRDefault="00AF54DE" w:rsidP="007877FE">
                            <w:pPr>
                              <w:spacing w:after="0" w:line="240" w:lineRule="auto"/>
                              <w:jc w:val="right"/>
                              <w:rPr>
                                <w:rFonts w:ascii="Prompt" w:hAnsi="Prompt" w:cs="Prompt"/>
                                <w:color w:val="63AEBD"/>
                              </w:rPr>
                            </w:pPr>
                            <w:r>
                              <w:rPr>
                                <w:rFonts w:ascii="Prompt" w:hAnsi="Prompt" w:cs="Prompt"/>
                                <w:color w:val="63AEBD"/>
                              </w:rPr>
                              <w:t xml:space="preserve">Universidad César Vallejo. </w:t>
                            </w:r>
                            <w:r w:rsidRPr="00CB3665">
                              <w:rPr>
                                <w:rFonts w:ascii="Prompt" w:hAnsi="Prompt" w:cs="Prompt"/>
                                <w:color w:val="63AEBD"/>
                              </w:rPr>
                              <w:t>Lima-Perú</w:t>
                            </w:r>
                          </w:p>
                          <w:p w14:paraId="6BDB8058" w14:textId="77777777" w:rsidR="00AF54DE" w:rsidRPr="007352BA" w:rsidRDefault="00AF54DE" w:rsidP="000529D8">
                            <w:pPr>
                              <w:spacing w:after="0" w:line="240" w:lineRule="auto"/>
                              <w:jc w:val="right"/>
                              <w:rPr>
                                <w:rFonts w:ascii="Prompt" w:hAnsi="Prompt" w:cs="Prompt"/>
                                <w:color w:val="FFFFFF"/>
                              </w:rPr>
                            </w:pPr>
                          </w:p>
                          <w:p w14:paraId="5ED796FE" w14:textId="77777777" w:rsidR="00AF54DE" w:rsidRDefault="00AF54DE" w:rsidP="001A7F1D">
                            <w:pPr>
                              <w:spacing w:after="0" w:line="240" w:lineRule="auto"/>
                              <w:jc w:val="right"/>
                              <w:rPr>
                                <w:rFonts w:ascii="Prompt" w:hAnsi="Prompt" w:cs="Prompt"/>
                                <w:color w:val="63AEBD"/>
                              </w:rPr>
                            </w:pPr>
                            <w:bookmarkStart w:id="4" w:name="_Hlk193876501"/>
                            <w:r w:rsidRPr="00CB3665">
                              <w:rPr>
                                <w:rFonts w:ascii="Prompt" w:hAnsi="Prompt" w:cs="Prompt"/>
                                <w:color w:val="63AEBD"/>
                              </w:rPr>
                              <w:t>Flor de María Sánchez Aguirre</w:t>
                            </w:r>
                          </w:p>
                          <w:bookmarkEnd w:id="4"/>
                          <w:p w14:paraId="0FC88530" w14:textId="77777777" w:rsidR="00AF54DE" w:rsidRPr="00CB3665" w:rsidRDefault="00AF54DE" w:rsidP="00CB3665">
                            <w:pPr>
                              <w:spacing w:after="0" w:line="240" w:lineRule="auto"/>
                              <w:jc w:val="right"/>
                              <w:rPr>
                                <w:rFonts w:ascii="Prompt" w:hAnsi="Prompt" w:cs="Prompt"/>
                                <w:color w:val="FFFFFF" w:themeColor="background1"/>
                              </w:rPr>
                            </w:pPr>
                            <w:r w:rsidRPr="00CB3665">
                              <w:rPr>
                                <w:rFonts w:ascii="Prompt" w:hAnsi="Prompt" w:cs="Prompt"/>
                                <w:color w:val="FFFFFF" w:themeColor="background1"/>
                              </w:rPr>
                              <w:t>https://orcid.org/0000-0001-6416-6817</w:t>
                            </w:r>
                          </w:p>
                          <w:p w14:paraId="1AAA4008" w14:textId="77777777" w:rsidR="00AF54DE" w:rsidRDefault="00AF54DE" w:rsidP="00CB3665">
                            <w:pPr>
                              <w:spacing w:after="0" w:line="240" w:lineRule="auto"/>
                              <w:jc w:val="right"/>
                              <w:rPr>
                                <w:rFonts w:ascii="Prompt" w:hAnsi="Prompt" w:cs="Prompt"/>
                                <w:color w:val="FFFFFF" w:themeColor="background1"/>
                              </w:rPr>
                            </w:pPr>
                            <w:r>
                              <w:rPr>
                                <w:rFonts w:ascii="Prompt" w:hAnsi="Prompt" w:cs="Prompt"/>
                                <w:color w:val="FFFFFF" w:themeColor="background1"/>
                              </w:rPr>
                              <w:t>fsancheza@ucv.edu.pe</w:t>
                            </w:r>
                          </w:p>
                          <w:p w14:paraId="10673239" w14:textId="77777777" w:rsidR="00AF54DE" w:rsidRPr="007352BA" w:rsidRDefault="00AF54DE" w:rsidP="00CB3665">
                            <w:pPr>
                              <w:spacing w:after="0" w:line="240" w:lineRule="auto"/>
                              <w:jc w:val="right"/>
                              <w:rPr>
                                <w:rFonts w:ascii="Prompt" w:hAnsi="Prompt" w:cs="Prompt"/>
                                <w:color w:val="63AEBD"/>
                              </w:rPr>
                            </w:pPr>
                            <w:r w:rsidRPr="00CB3665">
                              <w:rPr>
                                <w:rFonts w:ascii="Prompt" w:hAnsi="Prompt" w:cs="Prompt"/>
                                <w:color w:val="63AEBD"/>
                              </w:rPr>
                              <w:t>Escuela Superior Pedagógica</w:t>
                            </w:r>
                            <w:r>
                              <w:rPr>
                                <w:rFonts w:ascii="Prompt" w:hAnsi="Prompt" w:cs="Prompt"/>
                                <w:color w:val="63AEBD"/>
                              </w:rPr>
                              <w:t xml:space="preserve"> Pública Manuel González Prada. </w:t>
                            </w:r>
                            <w:r w:rsidRPr="00CB3665">
                              <w:rPr>
                                <w:rFonts w:ascii="Prompt" w:hAnsi="Prompt" w:cs="Prompt"/>
                                <w:color w:val="63AEBD"/>
                              </w:rPr>
                              <w:t>Lima-Perú</w:t>
                            </w:r>
                          </w:p>
                          <w:p w14:paraId="61FE7AD7" w14:textId="77777777" w:rsidR="00AF54DE" w:rsidRPr="007352BA" w:rsidRDefault="00AF54DE"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0D6B5" id="Cuadro de texto 17" o:spid="_x0000_s1031" type="#_x0000_t202" style="position:absolute;left:0;text-align:left;margin-left:221.4pt;margin-top:11.7pt;width:251pt;height:3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" filled="f" stroked="f">
                <v:textbox>
                  <w:txbxContent>
                    <w:p w14:paraId="0A8B7026" w14:textId="77777777" w:rsidR="00AF54DE" w:rsidRDefault="00AF54DE" w:rsidP="001A7F1D">
                      <w:pPr>
                        <w:spacing w:after="0" w:line="240" w:lineRule="auto"/>
                        <w:jc w:val="right"/>
                        <w:rPr>
                          <w:rFonts w:ascii="Prompt" w:hAnsi="Prompt" w:cs="Prompt"/>
                          <w:color w:val="63AEBD"/>
                        </w:rPr>
                      </w:pPr>
                    </w:p>
                    <w:p w14:paraId="225A095F" w14:textId="77777777" w:rsidR="00AF54DE" w:rsidRDefault="00AF54DE" w:rsidP="007877FE">
                      <w:pPr>
                        <w:spacing w:after="0" w:line="240" w:lineRule="auto"/>
                        <w:jc w:val="right"/>
                        <w:rPr>
                          <w:rFonts w:ascii="Prompt" w:hAnsi="Prompt" w:cs="Prompt"/>
                          <w:color w:val="63AEBD"/>
                        </w:rPr>
                      </w:pPr>
                      <w:bookmarkStart w:id="5" w:name="_Hlk193876437"/>
                      <w:r w:rsidRPr="00CB3665">
                        <w:rPr>
                          <w:rFonts w:ascii="Prompt" w:hAnsi="Prompt" w:cs="Prompt"/>
                          <w:color w:val="63AEBD"/>
                        </w:rPr>
                        <w:t xml:space="preserve">Katia Ormeño </w:t>
                      </w:r>
                      <w:proofErr w:type="spellStart"/>
                      <w:r w:rsidRPr="00CB3665">
                        <w:rPr>
                          <w:rFonts w:ascii="Prompt" w:hAnsi="Prompt" w:cs="Prompt"/>
                          <w:color w:val="63AEBD"/>
                        </w:rPr>
                        <w:t>Yomona</w:t>
                      </w:r>
                      <w:proofErr w:type="spellEnd"/>
                      <w:r w:rsidRPr="00CB3665">
                        <w:rPr>
                          <w:rFonts w:ascii="Prompt" w:hAnsi="Prompt" w:cs="Prompt"/>
                          <w:color w:val="63AEBD"/>
                        </w:rPr>
                        <w:t xml:space="preserve"> de Alcalde</w:t>
                      </w:r>
                    </w:p>
                    <w:bookmarkEnd w:id="5"/>
                    <w:p w14:paraId="73264862" w14:textId="77777777" w:rsidR="00AF54DE" w:rsidRPr="00CB3665" w:rsidRDefault="00AF54DE" w:rsidP="007877FE">
                      <w:pPr>
                        <w:spacing w:after="0" w:line="240" w:lineRule="auto"/>
                        <w:jc w:val="right"/>
                        <w:rPr>
                          <w:rFonts w:ascii="Prompt" w:hAnsi="Prompt" w:cs="Prompt"/>
                          <w:color w:val="FFFFFF" w:themeColor="background1"/>
                        </w:rPr>
                      </w:pPr>
                      <w:r w:rsidRPr="00CB3665">
                        <w:rPr>
                          <w:rFonts w:ascii="Prompt" w:hAnsi="Prompt" w:cs="Prompt"/>
                          <w:color w:val="FFFFFF" w:themeColor="background1"/>
                        </w:rPr>
                        <w:t>https://orcid.org/0009-0009-6537-7507</w:t>
                      </w:r>
                    </w:p>
                    <w:p w14:paraId="1EB3C21D" w14:textId="77777777" w:rsidR="00AF54DE" w:rsidRPr="00CB3665" w:rsidRDefault="00AF54DE" w:rsidP="007877FE">
                      <w:pPr>
                        <w:spacing w:after="0" w:line="240" w:lineRule="auto"/>
                        <w:jc w:val="right"/>
                        <w:rPr>
                          <w:rFonts w:ascii="Prompt" w:hAnsi="Prompt" w:cs="Prompt"/>
                          <w:color w:val="FFFFFF" w:themeColor="background1"/>
                        </w:rPr>
                      </w:pPr>
                      <w:r w:rsidRPr="00CB3665">
                        <w:rPr>
                          <w:rFonts w:ascii="Prompt" w:hAnsi="Prompt" w:cs="Prompt"/>
                          <w:color w:val="FFFFFF" w:themeColor="background1"/>
                        </w:rPr>
                        <w:t>oormenoal2979@ucvvirtual.edu.pe</w:t>
                      </w:r>
                    </w:p>
                    <w:p w14:paraId="712AA0FB" w14:textId="77777777" w:rsidR="00AF54DE" w:rsidRDefault="00AF54DE" w:rsidP="007877FE">
                      <w:pPr>
                        <w:spacing w:after="0" w:line="240" w:lineRule="auto"/>
                        <w:jc w:val="right"/>
                        <w:rPr>
                          <w:rFonts w:ascii="Prompt" w:hAnsi="Prompt" w:cs="Prompt"/>
                          <w:color w:val="63AEBD"/>
                        </w:rPr>
                      </w:pPr>
                      <w:r>
                        <w:rPr>
                          <w:rFonts w:ascii="Prompt" w:hAnsi="Prompt" w:cs="Prompt"/>
                          <w:color w:val="63AEBD"/>
                        </w:rPr>
                        <w:t xml:space="preserve">Universidad César Vallejo. </w:t>
                      </w:r>
                      <w:r w:rsidRPr="00CB3665">
                        <w:rPr>
                          <w:rFonts w:ascii="Prompt" w:hAnsi="Prompt" w:cs="Prompt"/>
                          <w:color w:val="63AEBD"/>
                        </w:rPr>
                        <w:t>Lima-Perú</w:t>
                      </w:r>
                    </w:p>
                    <w:p w14:paraId="0B6EC435" w14:textId="77777777" w:rsidR="00AF54DE" w:rsidRPr="007877FE" w:rsidRDefault="00AF54DE" w:rsidP="001A7F1D">
                      <w:pPr>
                        <w:spacing w:after="0" w:line="240" w:lineRule="auto"/>
                        <w:jc w:val="right"/>
                        <w:rPr>
                          <w:rFonts w:ascii="Prompt" w:hAnsi="Prompt" w:cs="Prompt"/>
                          <w:color w:val="63AEBD"/>
                          <w:lang w:val="es-MX"/>
                        </w:rPr>
                      </w:pPr>
                    </w:p>
                    <w:p w14:paraId="3369E505" w14:textId="44B4C9B0" w:rsidR="00AF54DE" w:rsidRPr="007877FE" w:rsidRDefault="00155C54" w:rsidP="001A7F1D">
                      <w:pPr>
                        <w:spacing w:after="0" w:line="240" w:lineRule="auto"/>
                        <w:jc w:val="right"/>
                        <w:rPr>
                          <w:rFonts w:ascii="Prompt" w:hAnsi="Prompt" w:cs="Prompt"/>
                          <w:color w:val="63AEBD"/>
                          <w:lang w:val="es-MX"/>
                        </w:rPr>
                      </w:pPr>
                      <w:bookmarkStart w:id="6" w:name="_Hlk193876481"/>
                      <w:r w:rsidRPr="007877FE">
                        <w:rPr>
                          <w:rFonts w:ascii="Prompt" w:hAnsi="Prompt" w:cs="Prompt"/>
                          <w:color w:val="63AEBD"/>
                          <w:lang w:val="es-MX"/>
                        </w:rPr>
                        <w:t>Josué</w:t>
                      </w:r>
                      <w:r w:rsidR="00AF54DE" w:rsidRPr="007877FE">
                        <w:rPr>
                          <w:rFonts w:ascii="Prompt" w:hAnsi="Prompt" w:cs="Prompt"/>
                          <w:color w:val="63AEBD"/>
                          <w:lang w:val="es-MX"/>
                        </w:rPr>
                        <w:t xml:space="preserve"> Nina-Cuchillo</w:t>
                      </w:r>
                    </w:p>
                    <w:bookmarkEnd w:id="6"/>
                    <w:p w14:paraId="0083BA66" w14:textId="77777777" w:rsidR="00AF54DE" w:rsidRPr="007877FE" w:rsidRDefault="00AF54DE" w:rsidP="00CB3665">
                      <w:pPr>
                        <w:spacing w:after="0" w:line="240" w:lineRule="auto"/>
                        <w:jc w:val="right"/>
                        <w:rPr>
                          <w:rFonts w:ascii="Prompt" w:hAnsi="Prompt" w:cs="Prompt"/>
                          <w:color w:val="FFFFFF" w:themeColor="background1"/>
                          <w:lang w:val="es-MX"/>
                        </w:rPr>
                      </w:pPr>
                      <w:r w:rsidRPr="007877FE">
                        <w:rPr>
                          <w:rFonts w:ascii="Prompt" w:hAnsi="Prompt" w:cs="Prompt"/>
                          <w:color w:val="FFFFFF" w:themeColor="background1"/>
                          <w:lang w:val="es-MX"/>
                        </w:rPr>
                        <w:t>https://orcid.org/0000-0002-2217-9713</w:t>
                      </w:r>
                    </w:p>
                    <w:p w14:paraId="58929CC4" w14:textId="77777777" w:rsidR="00AF54DE" w:rsidRPr="007877FE" w:rsidRDefault="00AF54DE" w:rsidP="00CB3665">
                      <w:pPr>
                        <w:spacing w:after="0" w:line="240" w:lineRule="auto"/>
                        <w:jc w:val="right"/>
                        <w:rPr>
                          <w:rFonts w:ascii="Prompt" w:hAnsi="Prompt" w:cs="Prompt"/>
                          <w:color w:val="FFFFFF" w:themeColor="background1"/>
                          <w:lang w:val="es-MX"/>
                        </w:rPr>
                      </w:pPr>
                      <w:r w:rsidRPr="007877FE">
                        <w:rPr>
                          <w:rFonts w:ascii="Prompt" w:hAnsi="Prompt" w:cs="Prompt"/>
                          <w:color w:val="FFFFFF" w:themeColor="background1"/>
                          <w:lang w:val="es-MX"/>
                        </w:rPr>
                        <w:t>josueninacuchillo@gmail.com</w:t>
                      </w:r>
                    </w:p>
                    <w:p w14:paraId="0B94F083" w14:textId="77777777" w:rsidR="00AF54DE" w:rsidRDefault="00AF54DE" w:rsidP="007877FE">
                      <w:pPr>
                        <w:spacing w:after="0" w:line="240" w:lineRule="auto"/>
                        <w:jc w:val="right"/>
                        <w:rPr>
                          <w:rFonts w:ascii="Prompt" w:hAnsi="Prompt" w:cs="Prompt"/>
                          <w:color w:val="63AEBD"/>
                        </w:rPr>
                      </w:pPr>
                      <w:r>
                        <w:rPr>
                          <w:rFonts w:ascii="Prompt" w:hAnsi="Prompt" w:cs="Prompt"/>
                          <w:color w:val="63AEBD"/>
                        </w:rPr>
                        <w:t xml:space="preserve">Universidad César Vallejo. </w:t>
                      </w:r>
                      <w:r w:rsidRPr="00CB3665">
                        <w:rPr>
                          <w:rFonts w:ascii="Prompt" w:hAnsi="Prompt" w:cs="Prompt"/>
                          <w:color w:val="63AEBD"/>
                        </w:rPr>
                        <w:t>Lima-Perú</w:t>
                      </w:r>
                    </w:p>
                    <w:p w14:paraId="6BDB8058" w14:textId="77777777" w:rsidR="00AF54DE" w:rsidRPr="007352BA" w:rsidRDefault="00AF54DE" w:rsidP="000529D8">
                      <w:pPr>
                        <w:spacing w:after="0" w:line="240" w:lineRule="auto"/>
                        <w:jc w:val="right"/>
                        <w:rPr>
                          <w:rFonts w:ascii="Prompt" w:hAnsi="Prompt" w:cs="Prompt"/>
                          <w:color w:val="FFFFFF"/>
                        </w:rPr>
                      </w:pPr>
                    </w:p>
                    <w:p w14:paraId="5ED796FE" w14:textId="77777777" w:rsidR="00AF54DE" w:rsidRDefault="00AF54DE" w:rsidP="001A7F1D">
                      <w:pPr>
                        <w:spacing w:after="0" w:line="240" w:lineRule="auto"/>
                        <w:jc w:val="right"/>
                        <w:rPr>
                          <w:rFonts w:ascii="Prompt" w:hAnsi="Prompt" w:cs="Prompt"/>
                          <w:color w:val="63AEBD"/>
                        </w:rPr>
                      </w:pPr>
                      <w:bookmarkStart w:id="7" w:name="_Hlk193876501"/>
                      <w:r w:rsidRPr="00CB3665">
                        <w:rPr>
                          <w:rFonts w:ascii="Prompt" w:hAnsi="Prompt" w:cs="Prompt"/>
                          <w:color w:val="63AEBD"/>
                        </w:rPr>
                        <w:t>Flor de María Sánchez Aguirre</w:t>
                      </w:r>
                    </w:p>
                    <w:bookmarkEnd w:id="7"/>
                    <w:p w14:paraId="0FC88530" w14:textId="77777777" w:rsidR="00AF54DE" w:rsidRPr="00CB3665" w:rsidRDefault="00AF54DE" w:rsidP="00CB3665">
                      <w:pPr>
                        <w:spacing w:after="0" w:line="240" w:lineRule="auto"/>
                        <w:jc w:val="right"/>
                        <w:rPr>
                          <w:rFonts w:ascii="Prompt" w:hAnsi="Prompt" w:cs="Prompt"/>
                          <w:color w:val="FFFFFF" w:themeColor="background1"/>
                        </w:rPr>
                      </w:pPr>
                      <w:r w:rsidRPr="00CB3665">
                        <w:rPr>
                          <w:rFonts w:ascii="Prompt" w:hAnsi="Prompt" w:cs="Prompt"/>
                          <w:color w:val="FFFFFF" w:themeColor="background1"/>
                        </w:rPr>
                        <w:t>https://orcid.org/0000-0001-6416-6817</w:t>
                      </w:r>
                    </w:p>
                    <w:p w14:paraId="1AAA4008" w14:textId="77777777" w:rsidR="00AF54DE" w:rsidRDefault="00AF54DE" w:rsidP="00CB3665">
                      <w:pPr>
                        <w:spacing w:after="0" w:line="240" w:lineRule="auto"/>
                        <w:jc w:val="right"/>
                        <w:rPr>
                          <w:rFonts w:ascii="Prompt" w:hAnsi="Prompt" w:cs="Prompt"/>
                          <w:color w:val="FFFFFF" w:themeColor="background1"/>
                        </w:rPr>
                      </w:pPr>
                      <w:r>
                        <w:rPr>
                          <w:rFonts w:ascii="Prompt" w:hAnsi="Prompt" w:cs="Prompt"/>
                          <w:color w:val="FFFFFF" w:themeColor="background1"/>
                        </w:rPr>
                        <w:t>fsancheza@ucv.edu.pe</w:t>
                      </w:r>
                    </w:p>
                    <w:p w14:paraId="10673239" w14:textId="77777777" w:rsidR="00AF54DE" w:rsidRPr="007352BA" w:rsidRDefault="00AF54DE" w:rsidP="00CB3665">
                      <w:pPr>
                        <w:spacing w:after="0" w:line="240" w:lineRule="auto"/>
                        <w:jc w:val="right"/>
                        <w:rPr>
                          <w:rFonts w:ascii="Prompt" w:hAnsi="Prompt" w:cs="Prompt"/>
                          <w:color w:val="63AEBD"/>
                        </w:rPr>
                      </w:pPr>
                      <w:r w:rsidRPr="00CB3665">
                        <w:rPr>
                          <w:rFonts w:ascii="Prompt" w:hAnsi="Prompt" w:cs="Prompt"/>
                          <w:color w:val="63AEBD"/>
                        </w:rPr>
                        <w:t>Escuela Superior Pedagógica</w:t>
                      </w:r>
                      <w:r>
                        <w:rPr>
                          <w:rFonts w:ascii="Prompt" w:hAnsi="Prompt" w:cs="Prompt"/>
                          <w:color w:val="63AEBD"/>
                        </w:rPr>
                        <w:t xml:space="preserve"> Pública Manuel González Prada. </w:t>
                      </w:r>
                      <w:r w:rsidRPr="00CB3665">
                        <w:rPr>
                          <w:rFonts w:ascii="Prompt" w:hAnsi="Prompt" w:cs="Prompt"/>
                          <w:color w:val="63AEBD"/>
                        </w:rPr>
                        <w:t>Lima-Perú</w:t>
                      </w:r>
                    </w:p>
                    <w:p w14:paraId="61FE7AD7" w14:textId="77777777" w:rsidR="00AF54DE" w:rsidRPr="007352BA" w:rsidRDefault="00AF54DE" w:rsidP="000529D8">
                      <w:pPr>
                        <w:spacing w:after="0" w:line="240" w:lineRule="auto"/>
                        <w:jc w:val="right"/>
                        <w:rPr>
                          <w:rFonts w:ascii="Prompt" w:hAnsi="Prompt" w:cs="Prompt"/>
                          <w:color w:val="FFFFFF"/>
                        </w:rPr>
                      </w:pPr>
                    </w:p>
                  </w:txbxContent>
                </v:textbox>
                <w10:wrap type="square"/>
              </v:shape>
            </w:pict>
          </mc:Fallback>
        </mc:AlternateContent>
      </w:r>
    </w:p>
    <w:p w14:paraId="62BCCF4A" w14:textId="77777777" w:rsidR="00CB3665" w:rsidRPr="00155C54" w:rsidRDefault="00CB3665" w:rsidP="00E271E2">
      <w:pPr>
        <w:spacing w:after="0" w:line="240" w:lineRule="auto"/>
        <w:jc w:val="both"/>
        <w:rPr>
          <w:rFonts w:ascii="Arial" w:hAnsi="Arial" w:cs="Arial"/>
          <w:b/>
          <w:bCs/>
        </w:rPr>
      </w:pPr>
    </w:p>
    <w:p w14:paraId="006940CC" w14:textId="77777777" w:rsidR="00DE6601" w:rsidRPr="00155C54" w:rsidRDefault="00DE6601" w:rsidP="00E271E2">
      <w:pPr>
        <w:spacing w:after="0" w:line="240" w:lineRule="auto"/>
        <w:jc w:val="both"/>
        <w:rPr>
          <w:rFonts w:ascii="Arial" w:hAnsi="Arial" w:cs="Arial"/>
          <w:b/>
          <w:bCs/>
        </w:rPr>
      </w:pPr>
      <w:r w:rsidRPr="00155C54">
        <w:rPr>
          <w:rFonts w:ascii="Arial" w:hAnsi="Arial" w:cs="Arial"/>
          <w:b/>
          <w:bCs/>
        </w:rPr>
        <w:t>Resumen</w:t>
      </w:r>
    </w:p>
    <w:p w14:paraId="60E78FB3" w14:textId="77777777" w:rsidR="00EF28BE" w:rsidRPr="00155C54" w:rsidRDefault="00B474ED" w:rsidP="00E271E2">
      <w:pPr>
        <w:spacing w:after="0" w:line="240" w:lineRule="auto"/>
        <w:jc w:val="both"/>
        <w:rPr>
          <w:rFonts w:ascii="Arial" w:hAnsi="Arial" w:cs="Arial"/>
          <w:sz w:val="20"/>
          <w:szCs w:val="20"/>
        </w:rPr>
      </w:pPr>
      <w:r w:rsidRPr="00155C54">
        <w:rPr>
          <w:rFonts w:ascii="Arial" w:hAnsi="Arial" w:cs="Arial"/>
          <w:sz w:val="20"/>
          <w:szCs w:val="20"/>
          <w:lang w:val="es-ES"/>
        </w:rPr>
        <w:t xml:space="preserve">La contratación pública es un elemento esencial en la gestión de proyectos, ya que garantiza la eficiencia, transparencia y sostenibilidad en el uso de los recursos públicos. En este contexto, el objetivo principal de este estudio fue evaluar el impacto de la contratación pública en la gestión de proyectos en </w:t>
      </w:r>
      <w:r w:rsidR="00593A9A" w:rsidRPr="00155C54">
        <w:rPr>
          <w:rFonts w:ascii="Arial" w:hAnsi="Arial" w:cs="Arial"/>
          <w:sz w:val="20"/>
          <w:szCs w:val="20"/>
          <w:lang w:val="es-ES"/>
        </w:rPr>
        <w:t xml:space="preserve">Latinoamérica. </w:t>
      </w:r>
      <w:r w:rsidR="007877FE" w:rsidRPr="00155C54">
        <w:rPr>
          <w:rFonts w:ascii="Arial" w:hAnsi="Arial" w:cs="Arial"/>
          <w:sz w:val="20"/>
          <w:szCs w:val="20"/>
          <w:lang w:val="es-ES"/>
        </w:rPr>
        <w:t xml:space="preserve">Con el fin de lograrlo, se realizó una revisión sistemática utilizando el método PRISMA. Para este propósito, se consultaron las bases de datos </w:t>
      </w:r>
      <w:proofErr w:type="spellStart"/>
      <w:r w:rsidR="007877FE" w:rsidRPr="00155C54">
        <w:rPr>
          <w:rFonts w:ascii="Arial" w:hAnsi="Arial" w:cs="Arial"/>
          <w:sz w:val="20"/>
          <w:szCs w:val="20"/>
          <w:lang w:val="es-ES"/>
        </w:rPr>
        <w:t>Scopus</w:t>
      </w:r>
      <w:proofErr w:type="spellEnd"/>
      <w:r w:rsidR="007877FE" w:rsidRPr="00155C54">
        <w:rPr>
          <w:rFonts w:ascii="Arial" w:hAnsi="Arial" w:cs="Arial"/>
          <w:sz w:val="20"/>
          <w:szCs w:val="20"/>
          <w:lang w:val="es-ES"/>
        </w:rPr>
        <w:t xml:space="preserve">, Web of Science y Scielo, aplicando criterios de inclusión y exclusión previamente definidos, y considerando estudios publicados entre 2020 y 2024. </w:t>
      </w:r>
      <w:r w:rsidRPr="00155C54">
        <w:rPr>
          <w:rFonts w:ascii="Arial" w:hAnsi="Arial" w:cs="Arial"/>
          <w:sz w:val="20"/>
          <w:szCs w:val="20"/>
          <w:lang w:val="es-ES"/>
        </w:rPr>
        <w:t>I</w:t>
      </w:r>
      <w:r w:rsidR="00593A9A" w:rsidRPr="00155C54">
        <w:rPr>
          <w:rFonts w:ascii="Arial" w:hAnsi="Arial" w:cs="Arial"/>
          <w:sz w:val="20"/>
          <w:szCs w:val="20"/>
          <w:lang w:val="es-ES"/>
        </w:rPr>
        <w:t>nicial</w:t>
      </w:r>
      <w:r w:rsidRPr="00155C54">
        <w:rPr>
          <w:rFonts w:ascii="Arial" w:hAnsi="Arial" w:cs="Arial"/>
          <w:sz w:val="20"/>
          <w:szCs w:val="20"/>
          <w:lang w:val="es-ES"/>
        </w:rPr>
        <w:t>mente se</w:t>
      </w:r>
      <w:r w:rsidR="00593A9A" w:rsidRPr="00155C54">
        <w:rPr>
          <w:rFonts w:ascii="Arial" w:hAnsi="Arial" w:cs="Arial"/>
          <w:sz w:val="20"/>
          <w:szCs w:val="20"/>
          <w:lang w:val="es-ES"/>
        </w:rPr>
        <w:t xml:space="preserve"> identific</w:t>
      </w:r>
      <w:r w:rsidRPr="00155C54">
        <w:rPr>
          <w:rFonts w:ascii="Arial" w:hAnsi="Arial" w:cs="Arial"/>
          <w:sz w:val="20"/>
          <w:szCs w:val="20"/>
          <w:lang w:val="es-ES"/>
        </w:rPr>
        <w:t xml:space="preserve">aron </w:t>
      </w:r>
      <w:r w:rsidR="007877FE" w:rsidRPr="00155C54">
        <w:rPr>
          <w:rFonts w:ascii="Arial" w:hAnsi="Arial" w:cs="Arial"/>
          <w:sz w:val="20"/>
          <w:szCs w:val="20"/>
          <w:lang w:val="es-ES"/>
        </w:rPr>
        <w:t xml:space="preserve">3476 artículos, de los cuales, finalmente, </w:t>
      </w:r>
      <w:r w:rsidR="00593A9A" w:rsidRPr="00155C54">
        <w:rPr>
          <w:rFonts w:ascii="Arial" w:hAnsi="Arial" w:cs="Arial"/>
          <w:sz w:val="20"/>
          <w:szCs w:val="20"/>
          <w:lang w:val="es-ES"/>
        </w:rPr>
        <w:t xml:space="preserve">se seleccionaron 23 para su posterior análisis. </w:t>
      </w:r>
      <w:r w:rsidR="007877FE" w:rsidRPr="00155C54">
        <w:rPr>
          <w:rFonts w:ascii="Arial" w:hAnsi="Arial" w:cs="Arial"/>
          <w:sz w:val="20"/>
          <w:szCs w:val="20"/>
          <w:lang w:val="es-ES"/>
        </w:rPr>
        <w:t>Se determinó que la contratación pública puede optimizar la gestión de proyectos, aunque enfrenta desafíos significativos como la burocracia y las deficiencias institucionales. La implementación de tecnologías digitales y la adopción de prácticas sostenibles son fundamentales para mejorar este proceso. Sin embargo, la fragmentación institucional obstaculiza las reformas necesarias. Por lo tanto, es crucial fortalecer las capacidades administrativas, mejorar la supervisión y fomentar la cooperación en</w:t>
      </w:r>
      <w:r w:rsidRPr="00155C54">
        <w:rPr>
          <w:rFonts w:ascii="Arial" w:hAnsi="Arial" w:cs="Arial"/>
          <w:sz w:val="20"/>
          <w:szCs w:val="20"/>
          <w:lang w:val="es-ES"/>
        </w:rPr>
        <w:t>tre el sector público y privado.</w:t>
      </w:r>
    </w:p>
    <w:p w14:paraId="2E80ABB5" w14:textId="77777777" w:rsidR="00B474ED" w:rsidRPr="00155C54" w:rsidRDefault="00B474ED" w:rsidP="00E271E2">
      <w:pPr>
        <w:spacing w:after="0" w:line="240" w:lineRule="auto"/>
        <w:jc w:val="both"/>
        <w:rPr>
          <w:rFonts w:ascii="Arial" w:hAnsi="Arial" w:cs="Arial"/>
          <w:b/>
          <w:bCs/>
          <w:sz w:val="20"/>
          <w:szCs w:val="20"/>
        </w:rPr>
      </w:pPr>
    </w:p>
    <w:p w14:paraId="19481347" w14:textId="0526AF5F" w:rsidR="00627E06" w:rsidRPr="00155C54" w:rsidRDefault="00EF28BE" w:rsidP="00E271E2">
      <w:pPr>
        <w:spacing w:after="0" w:line="240" w:lineRule="auto"/>
        <w:jc w:val="both"/>
        <w:rPr>
          <w:rFonts w:ascii="Arial" w:hAnsi="Arial" w:cs="Arial"/>
          <w:sz w:val="20"/>
          <w:szCs w:val="20"/>
        </w:rPr>
      </w:pPr>
      <w:r w:rsidRPr="00155C54">
        <w:rPr>
          <w:rFonts w:ascii="Arial" w:hAnsi="Arial" w:cs="Arial"/>
          <w:b/>
          <w:bCs/>
          <w:sz w:val="20"/>
          <w:szCs w:val="20"/>
        </w:rPr>
        <w:t>Palabras clave</w:t>
      </w:r>
      <w:r w:rsidR="00593A9A" w:rsidRPr="00155C54">
        <w:rPr>
          <w:rFonts w:ascii="Arial" w:hAnsi="Arial" w:cs="Arial"/>
          <w:sz w:val="20"/>
          <w:szCs w:val="20"/>
        </w:rPr>
        <w:t>: administración pública, contratación, gestión del proyecto</w:t>
      </w:r>
      <w:r w:rsidR="00143957">
        <w:rPr>
          <w:rFonts w:ascii="Arial" w:hAnsi="Arial" w:cs="Arial"/>
          <w:sz w:val="20"/>
          <w:szCs w:val="20"/>
        </w:rPr>
        <w:t>.</w:t>
      </w:r>
    </w:p>
    <w:p w14:paraId="7D183A12" w14:textId="77777777" w:rsidR="00EF28BE" w:rsidRPr="00155C54" w:rsidRDefault="00EF28BE" w:rsidP="00E271E2">
      <w:pPr>
        <w:spacing w:after="0" w:line="240" w:lineRule="auto"/>
        <w:jc w:val="both"/>
        <w:rPr>
          <w:rFonts w:ascii="Arial" w:hAnsi="Arial" w:cs="Arial"/>
          <w:b/>
          <w:bCs/>
          <w:lang w:val="en-US"/>
        </w:rPr>
      </w:pPr>
      <w:r w:rsidRPr="00155C54">
        <w:rPr>
          <w:rFonts w:ascii="Arial" w:hAnsi="Arial" w:cs="Arial"/>
          <w:b/>
          <w:bCs/>
          <w:lang w:val="en-US"/>
        </w:rPr>
        <w:lastRenderedPageBreak/>
        <w:t>Abstract</w:t>
      </w:r>
    </w:p>
    <w:p w14:paraId="2578B5FC" w14:textId="77777777" w:rsidR="00EF28BE" w:rsidRPr="00155C54" w:rsidRDefault="00AE66C9" w:rsidP="00E271E2">
      <w:pPr>
        <w:spacing w:after="0" w:line="240" w:lineRule="auto"/>
        <w:jc w:val="both"/>
        <w:rPr>
          <w:rFonts w:ascii="Arial" w:hAnsi="Arial" w:cs="Arial"/>
          <w:sz w:val="20"/>
          <w:szCs w:val="20"/>
          <w:lang w:val="en-US"/>
        </w:rPr>
      </w:pPr>
      <w:r w:rsidRPr="00155C54">
        <w:rPr>
          <w:rFonts w:ascii="Arial" w:hAnsi="Arial" w:cs="Arial"/>
          <w:sz w:val="20"/>
          <w:szCs w:val="20"/>
          <w:lang w:val="en-US"/>
        </w:rPr>
        <w:t xml:space="preserve">Public procurement is an essential element in project management, as it ensures efficiency, transparency, and sustainability in the use of public resources. In this context, the main objective of this study was to evaluate the impact of public procurement on project management in Latin America. To achieve this, a systematic review was conducted using the PRISMA method. For this purpose, the Scopus, Web of Science, and </w:t>
      </w:r>
      <w:proofErr w:type="spellStart"/>
      <w:r w:rsidRPr="00155C54">
        <w:rPr>
          <w:rFonts w:ascii="Arial" w:hAnsi="Arial" w:cs="Arial"/>
          <w:sz w:val="20"/>
          <w:szCs w:val="20"/>
          <w:lang w:val="en-US"/>
        </w:rPr>
        <w:t>Scielo</w:t>
      </w:r>
      <w:proofErr w:type="spellEnd"/>
      <w:r w:rsidRPr="00155C54">
        <w:rPr>
          <w:rFonts w:ascii="Arial" w:hAnsi="Arial" w:cs="Arial"/>
          <w:sz w:val="20"/>
          <w:szCs w:val="20"/>
          <w:lang w:val="en-US"/>
        </w:rPr>
        <w:t xml:space="preserve"> databases were consulted, applying previously defined inclusion and exclusion criteria and considering studies published between 2020 and 2024. Initially, 3,476 articles were identified, of which 23 were ultimately selected for further analysis. It was determined that public procurement can optimize project management, although it faces significant challenges such as bureaucracy and institutional deficiencies. The implementation of digital technologies and the adoption of sustainable practices are essential to improve this process. However, institutional fragmentation hinders necessary reforms. Therefore, it is crucial to strengthen administrative capacities, improve oversight, and foster cooperation between the public and private sectors.</w:t>
      </w:r>
    </w:p>
    <w:p w14:paraId="22EA3853" w14:textId="77777777" w:rsidR="00AE66C9" w:rsidRPr="00155C54" w:rsidRDefault="00AE66C9" w:rsidP="00E271E2">
      <w:pPr>
        <w:spacing w:after="0" w:line="240" w:lineRule="auto"/>
        <w:jc w:val="both"/>
        <w:rPr>
          <w:rFonts w:ascii="Arial" w:hAnsi="Arial" w:cs="Arial"/>
          <w:sz w:val="20"/>
          <w:szCs w:val="20"/>
          <w:lang w:val="en-US"/>
        </w:rPr>
      </w:pPr>
    </w:p>
    <w:p w14:paraId="0E7F8F56" w14:textId="77777777" w:rsidR="00EF28BE" w:rsidRPr="00155C54" w:rsidRDefault="00EF28BE" w:rsidP="00E271E2">
      <w:pPr>
        <w:spacing w:after="0" w:line="240" w:lineRule="auto"/>
        <w:jc w:val="both"/>
        <w:rPr>
          <w:rFonts w:ascii="Arial" w:hAnsi="Arial" w:cs="Arial"/>
          <w:sz w:val="20"/>
          <w:szCs w:val="20"/>
          <w:lang w:val="en-US"/>
        </w:rPr>
      </w:pPr>
      <w:r w:rsidRPr="00155C54">
        <w:rPr>
          <w:rFonts w:ascii="Arial" w:hAnsi="Arial" w:cs="Arial"/>
          <w:b/>
          <w:bCs/>
          <w:sz w:val="20"/>
          <w:szCs w:val="20"/>
          <w:lang w:val="en-US"/>
        </w:rPr>
        <w:t>Keywords</w:t>
      </w:r>
      <w:r w:rsidR="00593A9A" w:rsidRPr="00155C54">
        <w:rPr>
          <w:rFonts w:ascii="Arial" w:hAnsi="Arial" w:cs="Arial"/>
          <w:sz w:val="20"/>
          <w:szCs w:val="20"/>
          <w:lang w:val="en-US"/>
        </w:rPr>
        <w:t xml:space="preserve">: </w:t>
      </w:r>
      <w:r w:rsidR="00055B67" w:rsidRPr="00155C54">
        <w:rPr>
          <w:rFonts w:ascii="Arial" w:hAnsi="Arial" w:cs="Arial"/>
          <w:sz w:val="20"/>
          <w:szCs w:val="20"/>
          <w:lang w:val="en-US"/>
        </w:rPr>
        <w:t>public administration, contracting, project management.</w:t>
      </w:r>
    </w:p>
    <w:p w14:paraId="4EAA9F26" w14:textId="77777777" w:rsidR="00EF28BE" w:rsidRPr="00155C54" w:rsidRDefault="00EF28BE" w:rsidP="00E271E2">
      <w:pPr>
        <w:spacing w:after="0" w:line="240" w:lineRule="auto"/>
        <w:jc w:val="both"/>
        <w:rPr>
          <w:rFonts w:ascii="Arial" w:hAnsi="Arial" w:cs="Arial"/>
          <w:sz w:val="20"/>
          <w:szCs w:val="20"/>
          <w:lang w:val="en-US"/>
        </w:rPr>
      </w:pPr>
    </w:p>
    <w:p w14:paraId="02A84488" w14:textId="77777777" w:rsidR="00EF28BE" w:rsidRPr="00155C54" w:rsidRDefault="00EF28BE" w:rsidP="00E271E2">
      <w:pPr>
        <w:spacing w:after="0" w:line="240" w:lineRule="auto"/>
        <w:jc w:val="both"/>
        <w:rPr>
          <w:rFonts w:ascii="Arial" w:hAnsi="Arial" w:cs="Arial"/>
          <w:b/>
          <w:bCs/>
        </w:rPr>
      </w:pPr>
      <w:r w:rsidRPr="00155C54">
        <w:rPr>
          <w:rFonts w:ascii="Arial" w:hAnsi="Arial" w:cs="Arial"/>
          <w:b/>
          <w:bCs/>
        </w:rPr>
        <w:t>Introducción</w:t>
      </w:r>
    </w:p>
    <w:p w14:paraId="0C59D313" w14:textId="77777777" w:rsidR="00B62AE9" w:rsidRPr="00155C54" w:rsidRDefault="00B62AE9" w:rsidP="00B62AE9">
      <w:pPr>
        <w:spacing w:after="0" w:line="240" w:lineRule="auto"/>
        <w:ind w:firstLine="709"/>
        <w:jc w:val="both"/>
        <w:rPr>
          <w:rFonts w:ascii="Arial" w:hAnsi="Arial" w:cs="Arial"/>
          <w:sz w:val="20"/>
          <w:szCs w:val="20"/>
          <w:lang w:val="es-ES"/>
        </w:rPr>
      </w:pPr>
      <w:bookmarkStart w:id="8" w:name="_Hlk182947621"/>
      <w:r w:rsidRPr="00155C54">
        <w:rPr>
          <w:rFonts w:ascii="Arial" w:hAnsi="Arial" w:cs="Arial"/>
          <w:sz w:val="20"/>
          <w:szCs w:val="20"/>
          <w:lang w:val="es-ES"/>
        </w:rPr>
        <w:t xml:space="preserve">La gestión pública es un pilar fundamental en la administración de los recursos estatales, orientada a garantizar la eficiencia, la transparencia y el desarrollo sostenible en la ejecución de políticas y proyectos gubernamentales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{"citationItems":[{"id":"ITEM-1","itemData":{"DOI":"10.3390/su13115914","abstract":"This article highlights four key reform challenges regarding the quality of public administration and governance (PAG), aimed at increasing ‘SDG-readiness’ at all levels of administration, in a nexus characterized by complexity, volatility, pluriformity and uncertainty. Based on others’ research into how EU Member States institutionalize the implementation of the SDGs, a critical review of SDG-governance approaches, as well as a review paper on the management of the SDGs, it is concluded that that four priority areas could guide research and policy development to accelerate implementation of the 2030 Agenda. Firstly, to recognize that creating an effective public administration and governance is an important strategic policy area. Secondly, to begin with mission-oriented public administration and governance reform for SDG implementation, replacing the efficiency-driven public sector reform of the past decades. Thirdly, to apply culturally sensitive metagovernance to design, define and manage trade-offs and achieving synergies between SDGs and their targets. Fourthly, to start concerted efforts to improve policy coherence with a mindset beyond political, institutional, and mental ‘silos’.","author":[{"dropping-particle":"","family":"Meuleman","given":"Louis","non-dropping-particle":"","parse-names":false,"suffix":""}],"container-title":"Sustainability","id":"ITEM-1","issue":"11","issued":{"date-parts":[["2021"]]},"page":"5914","title":"Public Administration and Governance for the SDGs: Navigating between Change and Stability","type":"article-journal","volume":"13"},"uris":["http://www.mendeley.com/documents/?uuid=393c9a55-481f-46a4-aa79-94211c6525cd"]}],"mendeley":{"formattedCitation":"(Meuleman, 2021)","plainTextFormattedCitation":"(Meuleman, 2021)","previouslyFormattedCitation":"(Meuleman, 2021)"},"properties":{"noteIndex":0},"schema":"https://github.com/citation-style-language/schema/raw/master/csl-citation.json"}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(Meuleman, 2021)</w:t>
      </w:r>
      <w:r w:rsidRPr="00155C54">
        <w:rPr>
          <w:rFonts w:ascii="Arial" w:hAnsi="Arial" w:cs="Arial"/>
          <w:sz w:val="20"/>
          <w:szCs w:val="20"/>
        </w:rPr>
        <w:fldChar w:fldCharType="end"/>
      </w:r>
      <w:r w:rsidRPr="00155C54">
        <w:rPr>
          <w:rFonts w:ascii="Arial" w:hAnsi="Arial" w:cs="Arial"/>
          <w:sz w:val="20"/>
          <w:szCs w:val="20"/>
          <w:lang w:val="es-ES"/>
        </w:rPr>
        <w:t xml:space="preserve">. En este contexto, la contratación pública tiene una importancia fundamental en la gestión de la adquisición de bienes, servicios y obras por parte del Estado que son necesarios para sus funciones. Su ejecución óptima conduce a la utilización adecuada de los fondos públicos, incentiva la competencia entre proveedores y garantiza la calidad en la ejecución de proyectos de interés público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{"citationItems":[{"id":"ITEM-1","itemData":{"DOI":"10.1111/REGO.12243","ISSN":"1748-5991","abstract":"Since the 1990s, emerging economies such as Brazil, India, and China have adopted transparency-enhancing public procurement regulations in line with international norms. Yet they have hesitated to join the World Trade Organization's legally binding Government Procurement Agreement (GPA). Based on the Special Issue framework, this article scrutinizes the underlying domestic and international determinants, and how they influence emerging countries’ positions in two overlapping international procurement regimes. In particular, reform-oriented state actors, societal pressure, and lesson-drawing from international templates have induced a strengthening of domestic procurement institutions and turned emerging countries into “promoters” of the international transparency regime. Conversely, the rising powers have remained, to varying degrees, reluctant “spoilers” of the GPA-based market access regime in order to keep policy space and use procurement for domestic development objectives. The article suggests that this regulatory-developmental layering of rule-based governance and interventionist ambitions characterizes the variegated regulatory state in emerging countries.","author":[{"dropping-particle":"","family":"Križić","given":"Ivo","non-dropping-particle":"","parse-names":false,"suffix":""}],"container-title":"Regulation &amp; Governance","id":"ITEM-1","issue":"3","issued":{"date-parts":[["2021","7","1"]]},"page":"561-580","publisher":"John Wiley &amp; Sons, Ltd","title":"Regulating public procurement in Brazil, India, and China: Toward the regulatory-developmental state","type":"article-journal","volume":"15"},"uris":["http://www.mendeley.com/documents/?uuid=a84c5c77-dedb-381f-8762-e4cb407150f5"]}],"mendeley":{"formattedCitation":"(Križić, 2021)","plainTextFormattedCitation":"(Križić, 2021)","previouslyFormattedCitation":"(Križić, 2021)"},"properties":{"noteIndex":0},"schema":"https://github.com/citation-style-language/schema/raw/master/csl-citation.json"}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(Križić, 2021)</w:t>
      </w:r>
      <w:r w:rsidRPr="00155C54">
        <w:rPr>
          <w:rFonts w:ascii="Arial" w:hAnsi="Arial" w:cs="Arial"/>
          <w:sz w:val="20"/>
          <w:szCs w:val="20"/>
        </w:rPr>
        <w:fldChar w:fldCharType="end"/>
      </w:r>
      <w:r w:rsidRPr="00155C54">
        <w:rPr>
          <w:rFonts w:ascii="Arial" w:hAnsi="Arial" w:cs="Arial"/>
          <w:sz w:val="20"/>
          <w:szCs w:val="20"/>
          <w:lang w:val="es-ES"/>
        </w:rPr>
        <w:t xml:space="preserve">. Además, la gestión de proyectos hace uso de marcos y herramientas que facilitan la planificación, ejecución y seguimiento de iniciativas consideradas eficientes, dentro del presupuesto y completadas dentro de los plazos prometidos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{"citationItems":[{"id":"ITEM-1","itemData":{"DOI":"10.1080/15623599.2019.1644757","ISSN":"15623599","abstract":"Managing changes play a significant role in enhancing the success of projects. Seeking a flexible mechanism to facilitate project management, which is more adaptive to changes, is the initial motivation for conducting the present study. Agile Project Management provides new opportunities for management based on the acceptance of change as an unavoidable ingredient of the project management process in the construction sector. However, applying all the agile solutions would need a tremendous amount of initial investment. Therefore, the present study aims to introduce and prioritize the agile enablers for the change management of construction projects. For this purpose, the most critical changes were identified through a questionnaire survey among 60 Iranian first-grade consultant and contractor companies in the field of construction. Subsequently, 12 experts experienced in the area of change management in construction projects selected the most appropriate agility strategies for facing the prioritized changes through semi-structured interviews. Based on the achieved results, the most effective agility solutions in the change management are: continuous resource monitoring &amp; improvement, flexible workflow, client’s participation, facilitated communication, and receiving requirements during the project which accelerate responding to the changes through a repetitive and incremental process based on continuous learning and short-term planning.","author":[{"dropping-particle":"","family":"Arefazar","given":"Yasaman","non-dropping-particle":"","parse-names":false,"suffix":""},{"dropping-particle":"","family":"Nazari","given":"Ahad","non-dropping-particle":"","parse-names":false,"suffix":""},{"dropping-particle":"","family":"Hafezi","given":"Mohammad Reza","non-dropping-particle":"","parse-names":false,"suffix":""},{"dropping-particle":"","family":"Maghool","given":"Sayyed Amir Hossain","non-dropping-particle":"","parse-names":false,"suffix":""}],"container-title":"International Journal of Construction Management","id":"ITEM-1","issue":"4","issued":{"date-parts":[["2022"]]},"page":"678-689","publisher":"Taylor &amp; Francis","title":"Prioritizing agile project management strategies as a change management tool in construction projects","type":"article-journal","volume":"22"},"uris":["http://www.mendeley.com/documents/?uuid=1f249f2e-cd5a-3c79-82df-c31e113332ed"]}],"mendeley":{"formattedCitation":"(Arefazar et al., 2022)","plainTextFormattedCitation":"(Arefazar et al., 2022)","previouslyFormattedCitation":"(Arefazar et al., 2022)"},"properties":{"noteIndex":0},"schema":"https://github.com/citation-style-language/schema/raw/master/csl-citation.json"}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(Arefazar et al., 2022)</w:t>
      </w:r>
      <w:r w:rsidRPr="00155C54">
        <w:rPr>
          <w:rFonts w:ascii="Arial" w:hAnsi="Arial" w:cs="Arial"/>
          <w:sz w:val="20"/>
          <w:szCs w:val="20"/>
        </w:rPr>
        <w:fldChar w:fldCharType="end"/>
      </w:r>
      <w:r w:rsidRPr="00155C54">
        <w:rPr>
          <w:rFonts w:ascii="Arial" w:hAnsi="Arial" w:cs="Arial"/>
          <w:sz w:val="20"/>
          <w:szCs w:val="20"/>
          <w:lang w:val="es-ES"/>
        </w:rPr>
        <w:t xml:space="preserve">. Junto con la contratación pública, la gestión de proyectos se convierte en un proceso complementario que tiene como objetivo alcanzar los objetivos estratégicos de mejorar la capacidad institucional, la prestación de servicios y optimizar el impacto de las inversiones gubernamentales en la sociedad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{"citationItems":[{"id":"ITEM-1","itemData":{"DOI":"10.1080/01446193.2024.2376580","ISSN":"1466433X","abstract":"This paper examines the gap between macro-level calls for innovation and the micro-level enactment, by exploring the discrepancies between a public client’s pursuit of innovation and the actions taken at the project level. Through empirical analysis of four infrastructure operation and maintenance projects, we identify discrepancies within and between procurement strategies and project-level practices. Taking a strategy-as-practice perspective, our study shows how procurement strategies are adapted and enacted by inter-organizational project actors, shedding light on why macro-level innovation intent may not translate into expected outcomes at the project level. Our findings underscore the importance of aligning macro-level directives with micro-level actions to drive innovation in construction projects effectively. This research contributes to a better understanding of the dynamics shaping innovation in construction projects, highlighting the critical role of procurement strategies in bridging macro and micro contexts to achieve sustainable development goals.","author":[{"dropping-particle":"","family":"Nilsson","given":"Emilia","non-dropping-particle":"","parse-names":false,"suffix":""},{"dropping-particle":"","family":"Larsson","given":"Johan","non-dropping-particle":"","parse-names":false,"suffix":""},{"dropping-particle":"","family":"Hedgren","given":"Erika","non-dropping-particle":"","parse-names":false,"suffix":""}],"container-title":"Construction Management and Economics","id":"ITEM-1","issue":"1","issued":{"date-parts":[["2025"]]},"page":"26–39","publisher":"Routledge","title":"Public clients pursue innovation, but what’s going on at the project level? A case study of infrastructure operation and maintenance","type":"article-journal","volume":"43"},"uris":["http://www.mendeley.com/documents/?uuid=eff6f586-67a8-3787-a189-bcfea1910c7e"]}],"mendeley":{"formattedCitation":"(Nilsson et al., 2025)","plainTextFormattedCitation":"(Nilsson et al., 2025)","previouslyFormattedCitation":"(Nilsson Vestola et al., 2025)"},"properties":{"noteIndex":0},"schema":"https://github.com/citation-style-language/schema/raw/master/csl-citation.json"}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(Nilsson et al., 2025)</w:t>
      </w:r>
      <w:r w:rsidRPr="00155C54">
        <w:rPr>
          <w:rFonts w:ascii="Arial" w:hAnsi="Arial" w:cs="Arial"/>
          <w:sz w:val="20"/>
          <w:szCs w:val="20"/>
        </w:rPr>
        <w:fldChar w:fldCharType="end"/>
      </w:r>
      <w:r w:rsidRPr="00155C54">
        <w:rPr>
          <w:rFonts w:ascii="Arial" w:hAnsi="Arial" w:cs="Arial"/>
          <w:sz w:val="20"/>
          <w:szCs w:val="20"/>
          <w:lang w:val="es-ES"/>
        </w:rPr>
        <w:t>.</w:t>
      </w:r>
    </w:p>
    <w:p w14:paraId="6D03462F" w14:textId="77777777" w:rsidR="00B62AE9"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 xml:space="preserve">En este sentido, la contratación pública se define como las regulaciones, normas, procedimientos y mecanismos mediante los cuales los órganos estatales realizan la compra de productos y servicios u obras de construcción con el fin de satisfacer necesidades colectivas, así como cumplir los objetivos del sector público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{"citationItems":[{"id":"ITEM-1","itemData":{"DOI":"10.1007/978-981-99-1047-2_6","ISBN":"978-981-99-1047-2","ISSN":"2731-0841","abstract":"The government has many ways of purchasing public services, including competitive purchases, commissions, leases, franchises, and strategic cooperation etc. No matter what kind of procurement method is adopted, it always will be realized through contract. The procurement contract is related to the realization of the government procurement of public service system goals. It is the core and cornerstone of the government procurement of public service. The government procurement of public services is the product of the transition from authoritarian governance to contractual governance, and contractualization is its essential feature. However, since the government procurement contracts is a kind of public services, and the characteristics of public services are more complex than those of general civil contracts. Only by clarifying the characteristics of the procurement contract which is different from the general civil contract, can the contract be signed and performed better. Due to the different legal systems in various countries, the definition of the form, nature, different links and stages of the procurement contract is also different. For example, there are many ways to divide the links and stages of the procurement contract. Scholar Savas called all the links and stages of a procurement contract the “signing process”, including considering the implementation of contract outsourcing, selecting services to be outsourced, conducting feasibility studies, promoting competition, understanding bidding intentions and qualifications, planning employee transitions, preparing bidding contract details, conducting public relations activities, planning competitions involving managers, implementing fair bidding, evaluating bids and signing contracts, monitoring and evaluating, and promoting contract performance.","author":[{"dropping-particle":"","family":"Xiansheng","given":"Xiang","non-dropping-particle":"","parse-names":false,"suffix":""}],"container-title":"Public Procurement in Chinese Law and Practice","id":"ITEM-1","issued":{"date-parts":[["2023"]]},"page":"137-185","publisher":"Springer, Singapore","title":"Statutory Ways for the Government Procurement of Public Services","type":"article-journal"},"uris":["http://www.mendeley.com/documents/?uuid=f2779cf3-070e-3d7a-80e3-c4d1f52e6988"]}],"mendeley":{"formattedCitation":"(Xiansheng, 2023)","plainTextFormattedCitation":"(Xiansheng, 2023)","previouslyFormattedCitation":"(Xiansheng, 2023)"},"properties":{"noteIndex":0},"schema":"https://github.com/citation-style-language/schema/raw/master/csl-citation.json"}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(Xiansheng, 2023)</w:t>
      </w:r>
      <w:r w:rsidRPr="00155C54">
        <w:rPr>
          <w:rFonts w:ascii="Arial" w:hAnsi="Arial" w:cs="Arial"/>
          <w:sz w:val="20"/>
          <w:szCs w:val="20"/>
        </w:rPr>
        <w:fldChar w:fldCharType="end"/>
      </w:r>
      <w:r w:rsidRPr="00155C54">
        <w:rPr>
          <w:rFonts w:ascii="Arial" w:hAnsi="Arial" w:cs="Arial"/>
          <w:sz w:val="20"/>
          <w:szCs w:val="20"/>
          <w:lang w:val="es-ES"/>
        </w:rPr>
        <w:t xml:space="preserve">. Este enfoque se caracteriza por un sistema de leyes y regulaciones que permite la selección, adjudicación y ejecución de contratos como elementos principales del gasto público, garantizando así que los fondos públicos se utilicen adecuadamente al tiempo que se mejora la apertura, la competencia y la igualdad de oportunidades para todos los solicitantes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{"citationItems":[{"id":"ITEM-1","itemData":{"author":[{"dropping-particle":"","family":"Ascanio","given":"Marilin","non-dropping-particle":"","parse-names":false,"suffix":""}],"container-title":"Revista Digital de Derecho Administrativo","id":"ITEM-1","issue":"25","issued":{"date-parts":[["2020","12","15"]]},"page":"337-369","title":"Principios de la contratación publica en el ámbito del acuerdo de libre comercio entre Chile y Colombia","type":"article-journal"},"uris":["http://www.mendeley.com/documents/?uuid=d664d465-e7a8-3314-9e87-188c43998443"]}],"mendeley":{"formattedCitation":"(Ascanio, 2020)","plainTextFormattedCitation":"(Ascanio, 2020)","previouslyFormattedCitation":"(Ascanio, 2020)"},"properties":{"noteIndex":0},"schema":"https://github.com/citation-style-language/schema/raw/master/csl-citation.json"}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(Ascanio, 2020)</w:t>
      </w:r>
      <w:r w:rsidRPr="00155C54">
        <w:rPr>
          <w:rFonts w:ascii="Arial" w:hAnsi="Arial" w:cs="Arial"/>
          <w:sz w:val="20"/>
          <w:szCs w:val="20"/>
        </w:rPr>
        <w:fldChar w:fldCharType="end"/>
      </w:r>
      <w:r w:rsidRPr="00155C54">
        <w:rPr>
          <w:rFonts w:ascii="Arial" w:hAnsi="Arial" w:cs="Arial"/>
          <w:sz w:val="20"/>
          <w:szCs w:val="20"/>
          <w:lang w:val="es-ES"/>
        </w:rPr>
        <w:t xml:space="preserve">. La contratación pública está diseñada sobre la base de principios como la legalidad, la eficiencia, la publicidad y la responsabilidad que tienen como objetivo optimizar las operaciones de las instituciones públicas y garantizar que los recursos estén orientados a la calidad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{"citationItems":[{"id":"ITEM-1","itemData":{"DOI":"10.1007/978-3-030-35040-6_23","ISBN":"978-3-030-35040-6","ISSN":"2364-5075","abstract":"The aim of the chapter is to indicate how the criteria of proper management of public property affect the control over granting public contracts and the consequences of their non-application. This chapter deals with the control of public procurement in the European Union, which is directly related to the issue of proper management of public property. The entity granting the public contract should take into account criteria such as legality, cost efficiency, purposefulness, and reliability. The entire area of exercising the property rights of the state and other public and legal entities by public authorities is subject to control in these areas. It should be pointed out that these should be directives for the authority that grants the contract to act in the management of public property in the public interest. Moreover, it should be stressed that proper management of public property is carried out by a number of provisions of public economic law, which set out best practices for public authorities in this area and constitute a reference point for control and supervision activities undertaken with respect to appropriate bodies possessing public property. The criteria indicated have an impact on savings in the spending of financial resources, which are the responsibility of the public sector in a broad sense, and on the creation of foundations for the use of economic shares by entrepreneurs on the public market. In the chapter, a research formal-dogmatic method and a functional method of analysis were applied.","author":[{"dropping-particle":"","family":"Gola","given":"Jan","non-dropping-particle":"","parse-names":false,"suffix":""}],"container-title":"Eurasian Studies in Business and Economics","id":"ITEM-1","issue":"1","issued":{"date-parts":[["2020"]]},"page":"365-375","publisher":"Springer, Cham","title":"Criteria for the Proper Management of Public Property and the Control of Public Procurement","type":"article-journal","volume":"12"},"uris":["http://www.mendeley.com/documents/?uuid=2b5bef3c-80fd-390d-a4e6-44fa3340440d"]}],"mendeley":{"formattedCitation":"(Gola, 2020)","plainTextFormattedCitation":"(Gola, 2020)","previouslyFormattedCitation":"(Gola, 2020)"},"properties":{"noteIndex":0},"schema":"https://github.com/citation-style-language/schema/raw/master/csl-citation.json"}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(Gola, 2020)</w:t>
      </w:r>
      <w:r w:rsidRPr="00155C54">
        <w:rPr>
          <w:rFonts w:ascii="Arial" w:hAnsi="Arial" w:cs="Arial"/>
          <w:sz w:val="20"/>
          <w:szCs w:val="20"/>
        </w:rPr>
        <w:fldChar w:fldCharType="end"/>
      </w:r>
      <w:r w:rsidRPr="00155C54">
        <w:rPr>
          <w:rFonts w:ascii="Arial" w:hAnsi="Arial" w:cs="Arial"/>
          <w:sz w:val="20"/>
          <w:szCs w:val="20"/>
          <w:lang w:val="es-ES"/>
        </w:rPr>
        <w:t xml:space="preserve">. De la misma manera, abarca a muchos participantes, incluidas las instituciones públicas, los proveedores de servicios y los organismos de supervisión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{"citationItems":[{"id":"ITEM-1","itemData":{"DOI":"10.1016/J.PURSUP.2021.100745","ISSN":"1478-4092","abstract":"Public procurement has struggled to fulfill its mission to create public value due to a narrow interpretation of value emphasizing the costs of procured goods and services. A holistic view of multidimensional value creation in the context of public procurement has received limited research attention despite a significant body of research on the potential benefits associated with public procurement. The purpose of this paper is to fill this gap by analyzing the value components and means of value creation developed through public procurement activities. We conduct a systematic literature review and content analysis of 171 research articles to determine the constituents of the value of public procurement and the practices needed to achieve them. Using the theoretical lens of the practice-based view, we propose a conceptual framework that holistically integrates different components of the value of public procurement for the public buyer, supplier, and user, along with the practices needed to achieve them. The study contributes to the literature by offering a multidimensional conceptual framework, a structured review of value components and associated practices, and the application of the practice-based view as the theoretical lens, all of which have implications for practice and theory.","author":[{"dropping-particle":"","family":"Malacina","given":"Iryna","non-dropping-particle":"","parse-names":false,"suffix":""},{"dropping-particle":"","family":"Karttunen","given":"Elina","non-dropping-particle":"","parse-names":false,"suffix":""},{"dropping-particle":"","family":"Jääskeläinen","given":"Aki","non-dropping-particle":"","parse-names":false,"suffix":""},{"dropping-particle":"","family":"Lintukangas","given":"Katrina","non-dropping-particle":"","parse-names":false,"suffix":""},{"dropping-particle":"","family":"Heikkilä","given":"Jussi","non-dropping-particle":"","parse-names":false,"suffix":""},{"dropping-particle":"","family":"Kähkönen","given":"Anni Kaisa","non-dropping-particle":"","parse-names":false,"suffix":""}],"container-title":"Journal of Purchasing and Supply Management","id":"ITEM-1","issue":"2","issued":{"date-parts":[["2022","3","1"]]},"page":"100745","publisher":"Pergamon","title":"Capturing the value creation in public procurement: A practice-based view","type":"article-journal","volume":"28"},"uris":["http://www.mendeley.com/documents/?uuid=b997215d-7493-3ca9-acc9-853352cd093b"]}],"mendeley":{"formattedCitation":"(Malacina et al., 2022)","plainTextFormattedCitation":"(Malacina et al., 2022)","previouslyFormattedCitation":"(Malacina et al., 2022)"},"properties":{"noteIndex":0},"schema":"https://github.com/citation-style-language/schema/raw/master/csl-citation.json"}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(Malacina et al., 2022)</w:t>
      </w:r>
      <w:r w:rsidRPr="00155C54">
        <w:rPr>
          <w:rFonts w:ascii="Arial" w:hAnsi="Arial" w:cs="Arial"/>
          <w:sz w:val="20"/>
          <w:szCs w:val="20"/>
        </w:rPr>
        <w:fldChar w:fldCharType="end"/>
      </w:r>
      <w:r w:rsidRPr="00155C54">
        <w:rPr>
          <w:rFonts w:ascii="Arial" w:hAnsi="Arial" w:cs="Arial"/>
          <w:sz w:val="20"/>
          <w:szCs w:val="20"/>
          <w:lang w:val="es-ES"/>
        </w:rPr>
        <w:t>.</w:t>
      </w:r>
    </w:p>
    <w:p w14:paraId="31A87872" w14:textId="77777777" w:rsidR="00B62AE9"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 xml:space="preserve">Por otro lado, la gestión de proyectos es una disciplina que incorpora procesos, metodologías y herramientas para planificar, ejecutar, supervisar y cerrar iniciativas que tienen objetivos específicos. Estos procesos ocurren dentro de limitaciones de tiempo, costo y alcance preestablecidas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{"citationItems":[{"id":"ITEM-1","itemData":{"abstract":"Project management requires a company's capital to schedule and coordinate a particular mission or responsibility to perform. This may be a one-time initiative or constant operation, and managed resources include employees, finance, technologies and intellectual property. Project management is also related to the areas of architecture and design and later to healthcare and IT, which usually require a complex series of parts to be finalized and assembled to produce a workable product. Project management is mostly conducted by project managers to help identify project priorities and objectives and decide whether and who are to complete the different project components. They also produce quality controls to guarantee that products that are completed follow a certain requirement. This review article discussed the fundamentals of project management including the importance of project management, core components of project management and the iron triangle of project management.","author":[{"dropping-particle":"","family":"Jain","given":"Manjula","non-dropping-particle":"","parse-names":false,"suffix":""}],"container-title":"The journal of contemporary issues in business and government","id":"ITEM-1","issue":"3","issued":{"date-parts":[["2021"]]},"page":"700-704","title":"An Overview of Project Management","type":"article-journal","volume":"27"},"uris":["http://www.mendeley.com/documents/?uuid=ca49c25c-e310-4196-85f4-86af5d214f46"]}],"mendeley":{"formattedCitation":"(Jain, 2021)","plainTextFormattedCitation":"(Jain, 2021)","previouslyFormattedCitation":"(Jain, 2021)"},"properties":{"noteIndex":0},"schema":"https://github.com/citation-style-language/schema/raw/master/csl-citation.json"}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(Jain, 2021)</w:t>
      </w:r>
      <w:r w:rsidRPr="00155C54">
        <w:rPr>
          <w:rFonts w:ascii="Arial" w:hAnsi="Arial" w:cs="Arial"/>
          <w:sz w:val="20"/>
          <w:szCs w:val="20"/>
        </w:rPr>
        <w:fldChar w:fldCharType="end"/>
      </w:r>
      <w:r w:rsidRPr="00155C54">
        <w:rPr>
          <w:rFonts w:ascii="Arial" w:hAnsi="Arial" w:cs="Arial"/>
          <w:sz w:val="20"/>
          <w:szCs w:val="20"/>
          <w:lang w:val="es-ES"/>
        </w:rPr>
        <w:t xml:space="preserve">. Su objetivo es optimizar los recursos, mitigar los riesgos y entregar resultados que cumplan con las expectativas y los requisitos de las partes interesadas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{"citationItems":[{"id":"ITEM-1","itemData":{"DOI":"10.1108/IJPPM-02-2021-0115/FULL/XML","ISSN":"17410401","abstract":"Purpose: The aim of this study was to appraise the delivery of information communication technology (ICT) projects and identify key determinants for stakeholder integration. Design/methodology/approach: Given that empirically, little was known about stakeholder integration in the ICT sector and its influence or effect on project delivery; qualitative method was used. Forty-seven semi-structured interviews were carried out to derive senior project practitioners and policymakers' constructs of stakeholder integration and infrastructure performance improvement of ICT projects. The verification and validation of the proposed assessment tool were achieved through the use of focus group discussion. Findings: As established in this research study, there is a need for project delivery teams to evaluate the level of stakeholder integration, the formulation of a project business case, the project processes and issues of compliance and regulation in ICT projects. What is evident in the findings of the study is that the management model adopted for the stakeholders in the Kenyan ICT sector ought to make communication the fulcrum of their engagement. Originality/value: The inferences made herein are critical in contributing to knowledge regarding the ICT infrastructure project management terrain in developing countries. There is evidence in the study to conclude that the concept of stakeholder management and integration has implications for the sustainability of ICT projects. One of the issues that predominantly featured in the research was the input of stakeholder integration in terms of project sustainability.","author":[{"dropping-particle":"","family":"Ominde","given":"Diana","non-dropping-particle":"","parse-names":false,"suffix":""},{"dropping-particle":"","family":"Ochieng","given":"Edward G.","non-dropping-particle":"","parse-names":false,"suffix":""},{"dropping-particle":"","family":"Omwenga","given":"Vincent O.","non-dropping-particle":"","parse-names":false,"suffix":""}],"container-title":"International Journal of Productivity and Performance Management","id":"ITEM-1","issue":"7","issued":{"date-parts":[["2023","8","25"]]},"page":"2155-2182","publisher":"Emerald Publishing","title":"An assessment tool for stakeholder integration excellence and project delivery optimisation","type":"article-journal","volume":"72"},"uris":["http://www.mendeley.com/documents/?uuid=2f914229-c6e6-3628-b1d1-11048bae90b9"]}],"mendeley":{"formattedCitation":"(Ominde et al., 2023)","plainTextFormattedCitation":"(Ominde et al., 2023)","previouslyFormattedCitation":"(Ominde et al., 2023)"},"properties":{"noteIndex":0},"schema":"https://github.com/citation-style-language/schema/raw/master/csl-citation.json"}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(Ominde et al., 2023)</w:t>
      </w:r>
      <w:r w:rsidRPr="00155C54">
        <w:rPr>
          <w:rFonts w:ascii="Arial" w:hAnsi="Arial" w:cs="Arial"/>
          <w:sz w:val="20"/>
          <w:szCs w:val="20"/>
        </w:rPr>
        <w:fldChar w:fldCharType="end"/>
      </w:r>
      <w:r w:rsidRPr="00155C54">
        <w:rPr>
          <w:rFonts w:ascii="Arial" w:hAnsi="Arial" w:cs="Arial"/>
          <w:sz w:val="20"/>
          <w:szCs w:val="20"/>
          <w:lang w:val="es-ES"/>
        </w:rPr>
        <w:t xml:space="preserve">. Son todos estos elementos los que hacen que la gestión de proyectos sea más compleja que establecer y alcanzar objetivos, por lo cual requiere sistemas gestionados. Estas estructuras incluyen herramientas como el </w:t>
      </w:r>
      <w:r w:rsidRPr="00155C54">
        <w:rPr>
          <w:rFonts w:ascii="Arial" w:hAnsi="Arial" w:cs="Arial"/>
          <w:i/>
          <w:sz w:val="20"/>
          <w:szCs w:val="20"/>
          <w:lang w:val="es-ES"/>
        </w:rPr>
        <w:t xml:space="preserve">Project Management </w:t>
      </w:r>
      <w:proofErr w:type="spellStart"/>
      <w:r w:rsidRPr="00155C54">
        <w:rPr>
          <w:rFonts w:ascii="Arial" w:hAnsi="Arial" w:cs="Arial"/>
          <w:i/>
          <w:sz w:val="20"/>
          <w:szCs w:val="20"/>
          <w:lang w:val="es-ES"/>
        </w:rPr>
        <w:t>Body</w:t>
      </w:r>
      <w:proofErr w:type="spellEnd"/>
      <w:r w:rsidRPr="00155C54">
        <w:rPr>
          <w:rFonts w:ascii="Arial" w:hAnsi="Arial" w:cs="Arial"/>
          <w:i/>
          <w:sz w:val="20"/>
          <w:szCs w:val="20"/>
          <w:lang w:val="es-ES"/>
        </w:rPr>
        <w:t xml:space="preserve"> of </w:t>
      </w:r>
      <w:proofErr w:type="spellStart"/>
      <w:r w:rsidRPr="00155C54">
        <w:rPr>
          <w:rFonts w:ascii="Arial" w:hAnsi="Arial" w:cs="Arial"/>
          <w:i/>
          <w:sz w:val="20"/>
          <w:szCs w:val="20"/>
          <w:lang w:val="es-ES"/>
        </w:rPr>
        <w:t>Knowledge</w:t>
      </w:r>
      <w:proofErr w:type="spellEnd"/>
      <w:r w:rsidRPr="00155C54">
        <w:rPr>
          <w:rFonts w:ascii="Arial" w:hAnsi="Arial" w:cs="Arial"/>
          <w:sz w:val="20"/>
          <w:szCs w:val="20"/>
          <w:lang w:val="es-ES"/>
        </w:rPr>
        <w:t xml:space="preserve"> (PMBOK), PRINCE2 y marcos ágiles que proporcionan organización, asignación de responsabilidades y control del desempeño del proyecto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{"citationItems":[{"id":"ITEM-1","itemData":{"DOI":"10.3390/BUILDINGS13071796","ISSN":"2075-5309","abstract":"Nowadays, companies employ various project management (PM) methodologies to ensure that their projects are effective and successful. It is worth knowing that differences in principles and processes of PM methodologies influence the use of different PMs in managing non-repetitive and repetitive construction projects. This paper presents the selection and application of a rational construction PM methodology to a repetitive construction project after a comparison of two PM methodologies, namely Project Management Body of Knowledge (PMBOK) and Projects IN Controlled Environments (PRINCE2). The object of this study is a repetitive anti-corrosion works project for steel structures conducted at Company X. The research was carried out in two steps. First, a quantitative survey of the respondents from companies involved in the management and execution of construction projects was conducted with the aim to identify a rational approach to construction PM. The questionnaire consisted of fourteen closed-ended questions, six of which were generic and eight were PMBOK- and PRINCE2-specific questions. Companies that took part in the quantitative study identified the PRINCE2 project management approach as the most suitable for managing a repetitive construction project. Using the PRINCE2 PM methodology, the repetitive construction project would aim to provide as much information as possible to the project participants, form a team and assign team leaders responsible for the phases, establish a financial plan, a detailed timetable for the execution of the works, a quality control plan, and a plan of responsible persons, and detail the technological sequencing of the works. Second, a quantitative study on the selection of a rational construction project management approach for a repetitive construction project was pursued, and a qualitative assessment of construction project monitoring trends and actions was conducted. The qualitative research was performed using a structured interview method and asking the representatives of different companies X, Y, and Z the same 15 questions. The results of the qualitative research showed that a successful PM depends on the size of the project team, the PM tools and methodologies used, the PM philosophy, and the frequency of monitoring and discussing the project progress.","author":[{"dropping-particle":"","family":"Simonaitis","given":"Aivaras","non-dropping-particle":"","parse-names":false,"suffix":""},{"dropping-particle":"","family":"Daukšys","given":"Mindaugas","non-dropping-particle":"","parse-names":false,"suffix":""},{"dropping-particle":"","family":"Mockienė","given":"Jūratė","non-dropping-particle":"","parse-names":false,"suffix":""}],"container-title":"Buildings","id":"ITEM-1","issue":"7","issued":{"date-parts":[["2023","7","14"]]},"page":"1796","publisher":"Multidisciplinary Digital Publishing Institute","title":"A Comparison of the Project Management Methodologies PRINCE2 and PMBOK in Managing Repetitive Construction Projects","type":"article-journal","volume":"13"},"uris":["http://www.mendeley.com/documents/?uuid=416189bc-9c18-3d99-9a18-26a6a69da1b3"]}],"mendeley":{"formattedCitation":"(Simonaitis et al., 2023)","plainTextFormattedCitation":"(Simonaitis et al., 2023)","previouslyFormattedCitation":"(Simonaitis et al., 2023)"},"properties":{"noteIndex":0},"schema":"https://github.com/citation-style-language/schema/raw/master/csl-citation.json"}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(Simonaitis et al., 2023)</w:t>
      </w:r>
      <w:r w:rsidRPr="00155C54">
        <w:rPr>
          <w:rFonts w:ascii="Arial" w:hAnsi="Arial" w:cs="Arial"/>
          <w:sz w:val="20"/>
          <w:szCs w:val="20"/>
        </w:rPr>
        <w:fldChar w:fldCharType="end"/>
      </w:r>
      <w:r w:rsidRPr="00155C54">
        <w:rPr>
          <w:rFonts w:ascii="Arial" w:hAnsi="Arial" w:cs="Arial"/>
          <w:sz w:val="20"/>
          <w:szCs w:val="20"/>
          <w:lang w:val="es-ES"/>
        </w:rPr>
        <w:t xml:space="preserve">. </w:t>
      </w:r>
      <w:r w:rsidR="00055B67" w:rsidRPr="00155C54">
        <w:rPr>
          <w:rFonts w:ascii="Arial" w:hAnsi="Arial" w:cs="Arial"/>
          <w:sz w:val="20"/>
          <w:szCs w:val="20"/>
          <w:lang w:val="es-ES"/>
        </w:rPr>
        <w:t>Es este sentido, l</w:t>
      </w:r>
      <w:r w:rsidRPr="00155C54">
        <w:rPr>
          <w:rFonts w:ascii="Arial" w:hAnsi="Arial" w:cs="Arial"/>
          <w:sz w:val="20"/>
          <w:szCs w:val="20"/>
          <w:lang w:val="es-ES"/>
        </w:rPr>
        <w:t xml:space="preserve">a gestión de proyectos es multidisciplinaria y abarca una variedad de conocimientos para gestionar las iniciativas de manera integral. Su adecuada implementación mejora la eficiencia, eficacia y sostenibilidad de los proyectos en diferentes contextos organizacionales y sectores económicos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{"citationItems":[{"id":"ITEM-1","itemData":{"DOI":"10.1016/j.jclepro.2020.123774","abstract":"Sustainability concepts showcase significant value in construction projects. The discipline of project management is also integrating sustainability issues into its approaches. Under this notion, this study explores the integration of sustainability indicators into project management practices of construction projects. Current literature discloses many indicators/key factors as contributing towards the sustainability success of construction projects. However, the lack of an all-encompassing categorization creates difficulties in directing project managers towards their proper utilization. This paper aims to contribute towards the holistic view of sustainability in project management, especially for construction projects. A systematic literature review was conducted towards the understanding of the key topics and the findings were validated through semi-structured interviews. Eighty-two (82) sustainability indicators related to project management practices in construction projects were finally identified. Their categorization into economic, environmental and social/management sustainability indicators was completed through semi-structured interviews with construction experts and via previous literature analysis. The economic related indicators finalized in 27; 18 for the environmental dimension and 37 indicators were included in the social/management dimension. This study contributes to research on sustainable project management for construction projects in two main ways: (1) it provides a holistic view of sustainable project management indicators, covering the full spectrum of the triple constraint (TBL); (2) it offers the possibility for practitioners to choose the right mix of indicators, depending on the sustainability focus they want to provide in their projects.","author":[{"dropping-particle":"","family":"Stanitsas","given":"M.","non-dropping-particle":"","parse-names":false,"suffix":""},{"dropping-particle":"","family":"Kirytopoulos","given":"K.","non-dropping-particle":"","parse-names":false,"suffix":""},{"dropping-particle":"","family":"Leopoulos","given":"V.","non-dropping-particle":"","parse-names":false,"suffix":""}],"container-title":"Journal of Cleaner Production","id":"ITEM-1","issued":{"date-parts":[["2021"]]},"page":"123774","title":"Integrating sustainability indicators into project management: The case of construction industry","type":"article-journal","volume":"279"},"uris":["http://www.mendeley.com/documents/?uuid=3ff827b3-ddde-40fd-8561-02cef536ed29"]}],"mendeley":{"formattedCitation":"(Stanitsas et al., 2021)","plainTextFormattedCitation":"(Stanitsas et al., 2021)","previouslyFormattedCitation":"(Stanitsas et al., 2021)"},"properties":{"noteIndex":0},"schema":"https://github.com/citation-style-language/schema/raw/master/csl-citation.json"}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(Stanitsas et al., 2021)</w:t>
      </w:r>
      <w:r w:rsidRPr="00155C54">
        <w:rPr>
          <w:rFonts w:ascii="Arial" w:hAnsi="Arial" w:cs="Arial"/>
          <w:sz w:val="20"/>
          <w:szCs w:val="20"/>
        </w:rPr>
        <w:fldChar w:fldCharType="end"/>
      </w:r>
      <w:r w:rsidRPr="00155C54">
        <w:rPr>
          <w:rFonts w:ascii="Arial" w:hAnsi="Arial" w:cs="Arial"/>
          <w:sz w:val="20"/>
          <w:szCs w:val="20"/>
          <w:lang w:val="es-ES"/>
        </w:rPr>
        <w:t>.</w:t>
      </w:r>
    </w:p>
    <w:p w14:paraId="27217007" w14:textId="77777777" w:rsidR="00B62AE9" w:rsidRPr="00155C54" w:rsidRDefault="00055B67"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No obstante,</w:t>
      </w:r>
      <w:r w:rsidR="00B62AE9" w:rsidRPr="00155C54">
        <w:rPr>
          <w:rFonts w:ascii="Arial" w:hAnsi="Arial" w:cs="Arial"/>
          <w:sz w:val="20"/>
          <w:szCs w:val="20"/>
          <w:lang w:val="es-ES"/>
        </w:rPr>
        <w:t xml:space="preserve"> los desafíos en materia de contratación pública y gestión de proyectos afectan profundamente la productividad y la eficacia de la inversión pública. Si bien se han producido avances en materia de legislación e implementación de marcos de transparencia, aún existen problemas relacionados con la corrupción, la ineficiencia administrativa y la fragmentación en la planificación y ejecución de proyectos </w:t>
      </w:r>
      <w:r w:rsidR="00B62AE9" w:rsidRPr="00155C54">
        <w:rPr>
          <w:rFonts w:ascii="Arial" w:hAnsi="Arial" w:cs="Arial"/>
          <w:sz w:val="20"/>
          <w:szCs w:val="20"/>
          <w:lang w:val="es-ES"/>
        </w:rPr>
        <w:fldChar w:fldCharType="begin" w:fldLock="1"/>
      </w:r>
      <w:r w:rsidR="00B62AE9" w:rsidRPr="00155C54">
        <w:rPr>
          <w:rFonts w:ascii="Arial" w:hAnsi="Arial" w:cs="Arial"/>
          <w:sz w:val="20"/>
          <w:szCs w:val="20"/>
          <w:lang w:val="es-ES"/>
        </w:rPr>
        <w:instrText>ADDIN CSL_CITATION {"citationItems":[{"id":"ITEM-1","itemData":{"DOI":"10.1007/978-3-030-82495-2_7","ISBN":"978-3-030-82495-2","abstract":"The problem of corruption is quite distinct in the area of public procurement and its regulation demands careful attention. We are confronted with a “market”, that of public procurement, which possesses significant economic impact, in a sector where the...","author":[{"dropping-particle":"","family":"Carloni","given":"Enrico","non-dropping-particle":"","parse-names":false,"suffix":""},{"dropping-particle":"","family":"Polinori","given":"Paolo","non-dropping-particle":"","parse-names":false,"suffix":""},{"dropping-particle":"","family":"David","given":"Daniele","non-dropping-particle":"","parse-names":false,"suffix":""}],"container-title":"Understanding and Fighting Corruption in Europe: From Repression to Prevention","id":"ITEM-1","issued":{"date-parts":[["2021","12","10"]]},"page":"127-149","publisher":"Springer, Cham","title":"Public Procurement and Corruption: Perspectives, Rules, Experiences","type":"article-journal"},"uris":["http://www.mendeley.com/documents/?uuid=967857f6-df9f-3757-896c-033d37486c0f"]}],"mendeley":{"formattedCitation":"(Carloni et al., 2021)","plainTextFormattedCitation":"(Carloni et al., 2021)","previouslyFormattedCitation":"(Carloni et al., 2021)"},"properties":{"noteIndex":0},"schema":"https://github.com/citation-style-language/schema/raw/master/csl-citation.json"}</w:instrText>
      </w:r>
      <w:r w:rsidR="00B62AE9" w:rsidRPr="00155C54">
        <w:rPr>
          <w:rFonts w:ascii="Arial" w:hAnsi="Arial" w:cs="Arial"/>
          <w:sz w:val="20"/>
          <w:szCs w:val="20"/>
          <w:lang w:val="es-ES"/>
        </w:rPr>
        <w:fldChar w:fldCharType="separate"/>
      </w:r>
      <w:r w:rsidR="00B62AE9" w:rsidRPr="00155C54">
        <w:rPr>
          <w:rFonts w:ascii="Arial" w:hAnsi="Arial" w:cs="Arial"/>
          <w:sz w:val="20"/>
          <w:szCs w:val="20"/>
          <w:lang w:val="es-ES"/>
        </w:rPr>
        <w:t xml:space="preserve">(Carloni </w:t>
      </w:r>
      <w:r w:rsidR="00B62AE9" w:rsidRPr="00155C54">
        <w:rPr>
          <w:rFonts w:ascii="Arial" w:hAnsi="Arial" w:cs="Arial"/>
          <w:sz w:val="20"/>
          <w:szCs w:val="20"/>
          <w:lang w:val="es-ES"/>
        </w:rPr>
        <w:lastRenderedPageBreak/>
        <w:t>et al., 2021)</w:t>
      </w:r>
      <w:r w:rsidR="00B62AE9" w:rsidRPr="00155C54">
        <w:rPr>
          <w:rFonts w:ascii="Arial" w:hAnsi="Arial" w:cs="Arial"/>
          <w:sz w:val="20"/>
          <w:szCs w:val="20"/>
        </w:rPr>
        <w:fldChar w:fldCharType="end"/>
      </w:r>
      <w:r w:rsidR="00B62AE9" w:rsidRPr="00155C54">
        <w:rPr>
          <w:rFonts w:ascii="Arial" w:hAnsi="Arial" w:cs="Arial"/>
          <w:sz w:val="20"/>
          <w:szCs w:val="20"/>
          <w:lang w:val="es-ES"/>
        </w:rPr>
        <w:t xml:space="preserve">. En la mayoría de las regiones, los sistemas de contratación presentan problemas de selección y deficiencia de proveedores, falta de competencia efectiva y sobrecostos que comprometen la sostenibilidad financiera del proyecto </w:t>
      </w:r>
      <w:r w:rsidR="00B62AE9" w:rsidRPr="00155C54">
        <w:rPr>
          <w:rFonts w:ascii="Arial" w:hAnsi="Arial" w:cs="Arial"/>
          <w:sz w:val="20"/>
          <w:szCs w:val="20"/>
          <w:lang w:val="es-ES"/>
        </w:rPr>
        <w:fldChar w:fldCharType="begin" w:fldLock="1"/>
      </w:r>
      <w:r w:rsidR="00B62AE9" w:rsidRPr="00155C54">
        <w:rPr>
          <w:rFonts w:ascii="Arial" w:hAnsi="Arial" w:cs="Arial"/>
          <w:sz w:val="20"/>
          <w:szCs w:val="20"/>
          <w:lang w:val="es-ES"/>
        </w:rPr>
        <w:instrText>ADDIN CSL_CITATION {"citationItems":[{"id":"ITEM-1","itemData":{"DOI":"10.3126/JORI.V10I1.66024","ISSN":"2392-4950","abstract":"Procurement of goods, works and services are considered as key functions of every government to achieve their development strategy goals which consumes the large amount of national GDP and annual budget. Public procurement shall be carried out in a transparent, accountable, effective, competitive and efficient manners with high level of integrity. Procurement and contracting operations using single-source or direct contracting method (an alternative to competitive options) creates a lot of controversies. The aim of this study is to explore the issues and practices of single source procurement and contracting methods, their justifications and impact on the project performance and sustainability. Adopting the mixed approach of qualitative and content analysis techniques; case study of conflict effected nations is conducted. For this purpose, a systematic literature review (SLR) of 15 conflict affected nations in Asia is carried out and case study of Timor-Leste located in East-Asia and Nepal located in South-Asia is conducted on the basis of research purposive approach. Similarly, a group discussion, preliminary interviews and in-depth interviews are also conducted involving project stake holders and then simple triangulation approach is applied for verification and validation purpose. Findings from in-depth interviews of 30 experienced participants, 5 group discussions and 10 preliminary interviews are included in this research paper. The participants have identified 15 key factors those are responsible for single-source contracting decisions like poor institutional capacity, political interference, corruption motives, weak private sector competition, decision delays, collusions among bidders, emergency situations and others. Identified consequences of direct contracting methods are delivery of goods and services in poor quality, cost overrun, promote corruption, social conflict, injustice, political instability including overall projects performance. It is expected that the findings of this research will contribute to a better understanding towards proper application of the available competitive methods of public procurement and contracting operations rather than selecting the non-competitive choices.","author":[{"dropping-particle":"","family":"Bhatta","given":"Jayendra Prasad","non-dropping-particle":"","parse-names":false,"suffix":""},{"dropping-particle":"","family":"Sain","given":"Manoj","non-dropping-particle":"","parse-names":false,"suffix":""}],"container-title":"A Bi-annual South Asian Journal of Research &amp; Innovation","id":"ITEM-1","issue":"1","issued":{"date-parts":[["2023","1","31"]]},"page":"9-18","publisher":"Nepal Journals Online (JOL)","title":"Public Procurement And Project Management At Transitional Context : Analysis Of Single Source Contracting Practices","type":"article-journal","volume":"10"},"uris":["http://www.mendeley.com/documents/?uuid=863db435-baa1-3288-b97f-84c9d01bf71e"]}],"mendeley":{"formattedCitation":"(Bhatta &amp; Sain, 2023)","plainTextFormattedCitation":"(Bhatta &amp; Sain, 2023)","previouslyFormattedCitation":"(Bhatta &amp; Sain, 2023)"},"properties":{"noteIndex":0},"schema":"https://github.com/citation-style-language/schema/raw/master/csl-citation.json"}</w:instrText>
      </w:r>
      <w:r w:rsidR="00B62AE9" w:rsidRPr="00155C54">
        <w:rPr>
          <w:rFonts w:ascii="Arial" w:hAnsi="Arial" w:cs="Arial"/>
          <w:sz w:val="20"/>
          <w:szCs w:val="20"/>
          <w:lang w:val="es-ES"/>
        </w:rPr>
        <w:fldChar w:fldCharType="separate"/>
      </w:r>
      <w:r w:rsidR="00B62AE9" w:rsidRPr="00155C54">
        <w:rPr>
          <w:rFonts w:ascii="Arial" w:hAnsi="Arial" w:cs="Arial"/>
          <w:sz w:val="20"/>
          <w:szCs w:val="20"/>
          <w:lang w:val="es-ES"/>
        </w:rPr>
        <w:t>(Bhatta &amp; Sain, 2023)</w:t>
      </w:r>
      <w:r w:rsidR="00B62AE9" w:rsidRPr="00155C54">
        <w:rPr>
          <w:rFonts w:ascii="Arial" w:hAnsi="Arial" w:cs="Arial"/>
          <w:sz w:val="20"/>
          <w:szCs w:val="20"/>
        </w:rPr>
        <w:fldChar w:fldCharType="end"/>
      </w:r>
      <w:r w:rsidR="00B62AE9" w:rsidRPr="00155C54">
        <w:rPr>
          <w:rFonts w:ascii="Arial" w:hAnsi="Arial" w:cs="Arial"/>
          <w:sz w:val="20"/>
          <w:szCs w:val="20"/>
          <w:lang w:val="es-ES"/>
        </w:rPr>
        <w:t xml:space="preserve">. Además, la gestión de proyectos del sector público suele verse limitada por una burocracia excesiva, una capacidad técnica insuficiente y la ausencia de sistemas proactivos de seguimiento y control </w:t>
      </w:r>
      <w:r w:rsidR="00B62AE9" w:rsidRPr="00155C54">
        <w:rPr>
          <w:rFonts w:ascii="Arial" w:hAnsi="Arial" w:cs="Arial"/>
          <w:sz w:val="20"/>
          <w:szCs w:val="20"/>
          <w:lang w:val="es-ES"/>
        </w:rPr>
        <w:fldChar w:fldCharType="begin" w:fldLock="1"/>
      </w:r>
      <w:r w:rsidR="00B62AE9" w:rsidRPr="00155C54">
        <w:rPr>
          <w:rFonts w:ascii="Arial" w:hAnsi="Arial" w:cs="Arial"/>
          <w:sz w:val="20"/>
          <w:szCs w:val="20"/>
          <w:lang w:val="es-ES"/>
        </w:rPr>
        <w:instrText>ADDIN CSL_CITATION {"citationItems":[{"id":"ITEM-1","itemData":{"DOI":"10.1007/978-3-030-66252-3_1504","ISBN":"978-3-030-66252-3","abstract":"Accountability in public procurement has remained one of the most challenging issues, especially in the developing countries. The capacity of government institutions of accountability in oversight function for managing public resources is weak as most of the countries do not have a public procurement system based on open competition, transparency, and market principles (Hunja 2001). Although the public sector has made substantive procurement reforms in their governments in its public procurement system, public procurement regulatory authorities are still faced with the challenge of monitoring compliance of procuring entities. It seems the regulatory authorities have limited scope and methodological approaches for strengthening procuring entities such as local government authorities’ capacity to measure, compare, learn, and improve performance in public procurement practices.","author":[{"dropping-particle":"","family":"Kajimbwa","given":"Monsiapile Agapto","non-dropping-particle":"","parse-names":false,"suffix":""}],"container-title":"Global Encyclopedia of Public Administration, Public Policy, and Governance","id":"ITEM-1","issued":{"date-parts":[["2022"]]},"page":"10837-10842","publisher":"Springer, Cham","title":"Public Procurement and Performance","type":"article-journal"},"uris":["http://www.mendeley.com/documents/?uuid=ad7cecd5-92a7-33df-8deb-24feb7be3534"]}],"mendeley":{"formattedCitation":"(Kajimbwa, 2022)","plainTextFormattedCitation":"(Kajimbwa, 2022)","previouslyFormattedCitation":"(Kajimbwa, 2022)"},"properties":{"noteIndex":0},"schema":"https://github.com/citation-style-language/schema/raw/master/csl-citation.json"}</w:instrText>
      </w:r>
      <w:r w:rsidR="00B62AE9" w:rsidRPr="00155C54">
        <w:rPr>
          <w:rFonts w:ascii="Arial" w:hAnsi="Arial" w:cs="Arial"/>
          <w:sz w:val="20"/>
          <w:szCs w:val="20"/>
          <w:lang w:val="es-ES"/>
        </w:rPr>
        <w:fldChar w:fldCharType="separate"/>
      </w:r>
      <w:r w:rsidR="00B62AE9" w:rsidRPr="00155C54">
        <w:rPr>
          <w:rFonts w:ascii="Arial" w:hAnsi="Arial" w:cs="Arial"/>
          <w:sz w:val="20"/>
          <w:szCs w:val="20"/>
          <w:lang w:val="es-ES"/>
        </w:rPr>
        <w:t>(Kajimbwa, 2022)</w:t>
      </w:r>
      <w:r w:rsidR="00B62AE9" w:rsidRPr="00155C54">
        <w:rPr>
          <w:rFonts w:ascii="Arial" w:hAnsi="Arial" w:cs="Arial"/>
          <w:sz w:val="20"/>
          <w:szCs w:val="20"/>
        </w:rPr>
        <w:fldChar w:fldCharType="end"/>
      </w:r>
      <w:r w:rsidR="00B62AE9" w:rsidRPr="00155C54">
        <w:rPr>
          <w:rFonts w:ascii="Arial" w:hAnsi="Arial" w:cs="Arial"/>
          <w:sz w:val="20"/>
          <w:szCs w:val="20"/>
          <w:lang w:val="es-ES"/>
        </w:rPr>
        <w:t xml:space="preserve">. Debido a estos problemas, se producen retrasos, incumplimientos de contrato y mala calidad de los trabajos y servicios, lo que favorece un desarrollo económico insuficiente y </w:t>
      </w:r>
      <w:r w:rsidRPr="00155C54">
        <w:rPr>
          <w:rFonts w:ascii="Arial" w:hAnsi="Arial" w:cs="Arial"/>
          <w:sz w:val="20"/>
          <w:szCs w:val="20"/>
          <w:lang w:val="es-ES"/>
        </w:rPr>
        <w:t>desconfianza</w:t>
      </w:r>
      <w:r w:rsidR="00B62AE9" w:rsidRPr="00155C54">
        <w:rPr>
          <w:rFonts w:ascii="Arial" w:hAnsi="Arial" w:cs="Arial"/>
          <w:sz w:val="20"/>
          <w:szCs w:val="20"/>
          <w:lang w:val="es-ES"/>
        </w:rPr>
        <w:t xml:space="preserve"> en las instituciones gubernamentales de todo el mundo </w:t>
      </w:r>
      <w:r w:rsidR="00B62AE9" w:rsidRPr="00155C54">
        <w:rPr>
          <w:rFonts w:ascii="Arial" w:hAnsi="Arial" w:cs="Arial"/>
          <w:sz w:val="20"/>
          <w:szCs w:val="20"/>
          <w:lang w:val="es-ES"/>
        </w:rPr>
        <w:fldChar w:fldCharType="begin" w:fldLock="1"/>
      </w:r>
      <w:r w:rsidR="00B62AE9" w:rsidRPr="00155C54">
        <w:rPr>
          <w:rFonts w:ascii="Arial" w:hAnsi="Arial" w:cs="Arial"/>
          <w:sz w:val="20"/>
          <w:szCs w:val="20"/>
          <w:lang w:val="es-ES"/>
        </w:rPr>
        <w:instrText>ADDIN CSL_CITATION {"citationItems":[{"id":"ITEM-1","itemData":{"DOI":"10.3390/SU12208692","ISSN":"2071-1050","abstract":"Public procurement fulfils an important role in the economy and public expenditure of a country and can be regarded as a critical indicator of the effectiveness of a government, because it is a central aspect of public service delivery. Notwithstanding various reforms made to date to public sector procurement in South Africa and the application of Supply Chain Management as a strategic policy strategic instrument, the South African public procurement system still faces several challenges and has been strongly criticised. This paper aims to understand the current public procurement environment in South Africa, its dilemmas and challenges, and to propose that public procurement be refocused towards a strategically placed business process, implemented by well-trained and competent procurement officials. The purpose is to provide a theoretical foundation as well as practical guidance regarding the role of public procurement in the South African public sector. The methodology involved an intensive literature study and document analysis to evaluate various official policy documents and official publications to determine the status of South African public procurement. The study found that the majority of challenges faced by public procurement in South Africa can probably be attributed to the implementation of the system, rather than to the system itself. In the shorter and longer term, the public procurement system in South Africa will have no choice but to emerge as a stronger, more resilient, streamlined and efficient provider of goods and services for the greater good of all.","author":[{"dropping-particle":"","family":"Fourie","given":"David","non-dropping-particle":"","parse-names":false,"suffix":""},{"dropping-particle":"","family":"Malan","given":"Cornel","non-dropping-particle":"","parse-names":false,"suffix":""}],"container-title":"Sustainability","id":"ITEM-1","issue":"20","issued":{"date-parts":[["2020","10","20"]]},"page":"8692","publisher":"Multidisciplinary Digital Publishing Institute","title":"Public Procurement in the South African Economy: Addressing the Systemic Issues","type":"article-journal","volume":"12"},"uris":["http://www.mendeley.com/documents/?uuid=febb3ee5-b72c-3867-8ed2-bed4f8230457"]}],"mendeley":{"formattedCitation":"(Fourie &amp; Malan, 2020)","plainTextFormattedCitation":"(Fourie &amp; Malan, 2020)","previouslyFormattedCitation":"(Fourie &amp; Malan, 2020)"},"properties":{"noteIndex":0},"schema":"https://github.com/citation-style-language/schema/raw/master/csl-citation.json"}</w:instrText>
      </w:r>
      <w:r w:rsidR="00B62AE9" w:rsidRPr="00155C54">
        <w:rPr>
          <w:rFonts w:ascii="Arial" w:hAnsi="Arial" w:cs="Arial"/>
          <w:sz w:val="20"/>
          <w:szCs w:val="20"/>
          <w:lang w:val="es-ES"/>
        </w:rPr>
        <w:fldChar w:fldCharType="separate"/>
      </w:r>
      <w:r w:rsidR="00B62AE9" w:rsidRPr="00155C54">
        <w:rPr>
          <w:rFonts w:ascii="Arial" w:hAnsi="Arial" w:cs="Arial"/>
          <w:sz w:val="20"/>
          <w:szCs w:val="20"/>
          <w:lang w:val="es-ES"/>
        </w:rPr>
        <w:t>(Fourie &amp; Malan, 2020)</w:t>
      </w:r>
      <w:r w:rsidR="00B62AE9" w:rsidRPr="00155C54">
        <w:rPr>
          <w:rFonts w:ascii="Arial" w:hAnsi="Arial" w:cs="Arial"/>
          <w:sz w:val="20"/>
          <w:szCs w:val="20"/>
        </w:rPr>
        <w:fldChar w:fldCharType="end"/>
      </w:r>
      <w:r w:rsidR="00B62AE9" w:rsidRPr="00155C54">
        <w:rPr>
          <w:rFonts w:ascii="Arial" w:hAnsi="Arial" w:cs="Arial"/>
          <w:sz w:val="20"/>
          <w:szCs w:val="20"/>
          <w:lang w:val="es-ES"/>
        </w:rPr>
        <w:t>.</w:t>
      </w:r>
    </w:p>
    <w:p w14:paraId="48D38260" w14:textId="77777777" w:rsidR="00B62AE9"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En</w:t>
      </w:r>
      <w:r w:rsidR="00055B67" w:rsidRPr="00155C54">
        <w:rPr>
          <w:rFonts w:ascii="Arial" w:hAnsi="Arial" w:cs="Arial"/>
          <w:sz w:val="20"/>
          <w:szCs w:val="20"/>
          <w:lang w:val="es-ES"/>
        </w:rPr>
        <w:t xml:space="preserve"> el caso particular de Latinoamérica</w:t>
      </w:r>
      <w:r w:rsidRPr="00155C54">
        <w:rPr>
          <w:rFonts w:ascii="Arial" w:hAnsi="Arial" w:cs="Arial"/>
          <w:sz w:val="20"/>
          <w:szCs w:val="20"/>
          <w:lang w:val="es-ES"/>
        </w:rPr>
        <w:t xml:space="preserve">, las compras públicas y la gestión de proyectos enfrentan problemas fundamentales que reducen la eficiencia de las iniciativas patrocinadas por el gobierno. La excesiva burocracia y la planificación estratégica inadecuada tienden a generar procesos contractuales largos con procedimientos demasiado complicados que postergan el inicio y el avance de los proyectos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{"citationItems":[{"id":"ITEM-1","itemData":{"DOI":"10.1590/0034-7612150933","ISSN":"0034-7612","abstract":"Resumo O artigo analisa o processo de modernização do Estado brasileiro associando-o ao conceito de capacidade do Estado, em especial, a profissionalização da burocracia federal que atua na formulação e implementação de políticas públicas. O artigo conclui que, a despeito da ocorrência de múltiplos mecanismos utilizados pelos diferentes governos e regimes políticos para o recrutamento da sua burocracia, o Executivo federal sempre foi capaz de gerar capacidade para implementar suas políticas preferenciais. Nas duas últimas décadas, contudo, o Executivo federal passou a recrutar sua burocracia majoritariamente por meio de concursos públicos, havendo hoje uma burocracia consolidada atuando no controle de regras e procedimentos e no controle fiscal, mas ainda incompleta em algumas áreas de políticas públicas. Essas novas características do sistema burocrático federal indicam que algumas das dimensões de uma burocracia weberiana foram construídas enquanto outras aguardam institucionalização, afetando, portanto, a capacidade do Estado em determinadas políticas.","author":[{"dropping-particle":"","family":"Souza","given":"Celina","non-dropping-particle":"","parse-names":false,"suffix":""}],"container-title":"Revista de Administração Pública","id":"ITEM-1","issue":"1","issued":{"date-parts":[["2017","1","1"]]},"page":"27-45","publisher":"Fundação Getulio Vargas","title":"Modernização do Estado e construção de capacidade burocrática para a implementação de políticas federalizadas","type":"article-journal","volume":"51"},"uris":["http://www.mendeley.com/documents/?uuid=0eee537d-63f5-343f-9c6d-212fc573e13e"]}],"mendeley":{"formattedCitation":"(Souza, 2017)","plainTextFormattedCitation":"(Souza, 2017)","previouslyFormattedCitation":"(Souza, 2017)"},"properties":{"noteIndex":0},"schema":"https://github.com/citation-style-language/schema/raw/master/csl-citation.json"}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(Souza, 2017)</w:t>
      </w:r>
      <w:r w:rsidRPr="00155C54">
        <w:rPr>
          <w:rFonts w:ascii="Arial" w:hAnsi="Arial" w:cs="Arial"/>
          <w:sz w:val="20"/>
          <w:szCs w:val="20"/>
        </w:rPr>
        <w:fldChar w:fldCharType="end"/>
      </w:r>
      <w:r w:rsidRPr="00155C54">
        <w:rPr>
          <w:rFonts w:ascii="Arial" w:hAnsi="Arial" w:cs="Arial"/>
          <w:sz w:val="20"/>
          <w:szCs w:val="20"/>
          <w:lang w:val="es-ES"/>
        </w:rPr>
        <w:t xml:space="preserve">. Además, el grado de turbulencia política en la región y los constantes cambios de poder afectan la constancia de las políticas de compras, lo que lleva a la interrupción de la ejecución de los pasos posteriores, así como de los plazos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{"citationItems":[{"id":"ITEM-1","itemData":{"DOI":"10.21678/APUNTES.96.1913","ISSN":"0252-1865","abstract":"This article conducts an analysis of the factors hindering the effective and efficient administration of state resources and proposes a new paradigm for public management. Multiple obstacles prevent achieving the well-being of the diverse citizenry, necessitating their elimination and a redefinition of public management with a shift in policy priorities to promote inclusive growth. The inclusion vector requires significant investments in human capital, including education, health, and technology, to enhance well-being and quality of life, as well as in physical infrastructure to boost productivity and absorb technological progress. Priorities include formal and productive employment, healthcare sector reform, education, and socially integrated investments. Seven lessons from macroeconomic policy are outlined as applicable to the new public management.","author":[{"dropping-particle":"","family":"Cruz","given":"María Amparo","non-dropping-particle":"","parse-names":false,"suffix":""},{"dropping-particle":"","family":"Morales","given":"Armando","non-dropping-particle":"","parse-names":false,"suffix":""},{"dropping-particle":"","family":"Cortez","given":"Rafael","non-dropping-particle":"","parse-names":false,"suffix":""}],"container-title":"Apuntes","id":"ITEM-1","issue":"96","issued":{"date-parts":[["2024"]]},"page":"37-65","publisher":"Universidad del Pacífico. Centro de Investigación","title":"El necesario y urgente «golpe de timón» de la gestión pública en el Perú","type":"article-journal","volume":"51"},"uris":["http://www.mendeley.com/documents/?uuid=e780f623-05bf-3bcd-93ec-552ff96d0a47"]}],"mendeley":{"formattedCitation":"(Cruz et al., 2024)","plainTextFormattedCitation":"(Cruz et al., 2024)","previouslyFormattedCitation":"(Cruz et al., 2024)"},"properties":{"noteIndex":0},"schema":"https://github.com/citation-style-language/schema/raw/master/csl-citation.json"}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(Cruz et al., 2024)</w:t>
      </w:r>
      <w:r w:rsidRPr="00155C54">
        <w:rPr>
          <w:rFonts w:ascii="Arial" w:hAnsi="Arial" w:cs="Arial"/>
          <w:sz w:val="20"/>
          <w:szCs w:val="20"/>
        </w:rPr>
        <w:fldChar w:fldCharType="end"/>
      </w:r>
      <w:r w:rsidRPr="00155C54">
        <w:rPr>
          <w:rFonts w:ascii="Arial" w:hAnsi="Arial" w:cs="Arial"/>
          <w:sz w:val="20"/>
          <w:szCs w:val="20"/>
          <w:lang w:val="es-ES"/>
        </w:rPr>
        <w:t>. Otra dificultad</w:t>
      </w:r>
      <w:r w:rsidR="00055B67" w:rsidRPr="00155C54">
        <w:rPr>
          <w:rFonts w:ascii="Arial" w:hAnsi="Arial" w:cs="Arial"/>
          <w:sz w:val="20"/>
          <w:szCs w:val="20"/>
          <w:lang w:val="es-ES"/>
        </w:rPr>
        <w:t>,</w:t>
      </w:r>
      <w:r w:rsidRPr="00155C54">
        <w:rPr>
          <w:rFonts w:ascii="Arial" w:hAnsi="Arial" w:cs="Arial"/>
          <w:sz w:val="20"/>
          <w:szCs w:val="20"/>
          <w:lang w:val="es-ES"/>
        </w:rPr>
        <w:t xml:space="preserve"> igualmente importante</w:t>
      </w:r>
      <w:r w:rsidR="00055B67" w:rsidRPr="00155C54">
        <w:rPr>
          <w:rFonts w:ascii="Arial" w:hAnsi="Arial" w:cs="Arial"/>
          <w:sz w:val="20"/>
          <w:szCs w:val="20"/>
          <w:lang w:val="es-ES"/>
        </w:rPr>
        <w:t>,</w:t>
      </w:r>
      <w:r w:rsidRPr="00155C54">
        <w:rPr>
          <w:rFonts w:ascii="Arial" w:hAnsi="Arial" w:cs="Arial"/>
          <w:sz w:val="20"/>
          <w:szCs w:val="20"/>
          <w:lang w:val="es-ES"/>
        </w:rPr>
        <w:t xml:space="preserve"> es la falta de sistemas adecuados de supervisión y control que conducen a prácticas poco éticas, como la selección de contratistas que carecen de un sólido criterio técnico y un débil control de los estándares de las obras y servicios contratados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{"citationItems":[{"id":"ITEM-1","itemData":{"DOI":"10.48082/ESPACIOS-A24V45N06P10","ISSN":"0798-1015","abstract":"La investigación tiene por objetivo analizar los aportes sobre la tercerización de servicios en la gestión pública municipal, utilizando un diseño de investigación de revisión sistemática. Se recolectó información a través de una búsqueda en bases de datos Scielo y Dialnet, seleccionando 22 artículos para su análisis. Los hallazgos indican que la tercerización puede reducir costos para los municipios, aunque también presenta riesgos como el impacto negativo en la seguridad laboral y la interferencia en la toma de decisiones municipales.","author":[{"dropping-particle":"","family":"Moreno","given":"Patricia J","non-dropping-particle":"","parse-names":false,"suffix":""},{"dropping-particle":"","family":"Saldaña","given":"Humberto J","non-dropping-particle":"","parse-names":false,"suffix":""}],"container-title":"Revista Espacios","id":"ITEM-1","issue":"6","issued":{"date-parts":[["2024","11","30"]]},"page":"116-127","publisher":"No","title":"Tercerización de servicios en gestión pública municipal: Revisión sistemática","type":"article-journal","volume":"45"},"uris":["http://www.mendeley.com/documents/?uuid=e1aa9577-e49e-3508-91e9-46dde77a3c17"]}],"mendeley":{"formattedCitation":"(Moreno &amp; Saldaña, 2024)","plainTextFormattedCitation":"(Moreno &amp; Saldaña, 2024)","previouslyFormattedCitation":"(Moreno &amp; Saldaña, 2024)"},"properties":{"noteIndex":0},"schema":"https://github.com/citation-style-language/schema/raw/master/csl-citation.json"}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(Moreno &amp; Saldaña, 2024)</w:t>
      </w:r>
      <w:r w:rsidRPr="00155C54">
        <w:rPr>
          <w:rFonts w:ascii="Arial" w:hAnsi="Arial" w:cs="Arial"/>
          <w:sz w:val="20"/>
          <w:szCs w:val="20"/>
        </w:rPr>
        <w:fldChar w:fldCharType="end"/>
      </w:r>
      <w:r w:rsidRPr="00155C54">
        <w:rPr>
          <w:rFonts w:ascii="Arial" w:hAnsi="Arial" w:cs="Arial"/>
          <w:sz w:val="20"/>
          <w:szCs w:val="20"/>
          <w:lang w:val="es-ES"/>
        </w:rPr>
        <w:t xml:space="preserve">. Tales problemas tienen repercusiones en la gestión de los proyectos, lo que lleva a excesos presupuestarios, mala calidad en las estructuras construidas y una disminución de la rentabilidad del gasto público </w:t>
      </w:r>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{"citationItems":[{"id":"ITEM-1","itemData":{"DOI":"10.30878/CES.V29N1A1","ISSN":"2395-8782","abstract":"Se analiza el papel del interventor en los contratos de interventoría adelantados en el Valle del Cauca en un periodo posterior a la expedición del Estatuto Anticorrupción. Se revisó un total de 64 contratos del Concurso de Méritos. El estudio reveló que hay variedad en los alcances de desempeño del interventor en contratos de objetos contractuales similares y se señalan los vacíos en la legislación actual y las inconsistencias en requisitos habilitantes. Se incluyen también recomendaciones generales sobre procedimientos adecuados para la contratación de interventoría. El rol del interventor en Colombia como veedor de los términos pactados en los contratos de infraestructura pública es fundamental para el cumplimiento del objeto contractual.","author":[{"dropping-particle":"","family":"Chamorro","given":"Gerardo Esteban","non-dropping-particle":"","parse-names":false,"suffix":""},{"dropping-particle":"","family":"Pérez","given":"Diego Darío","non-dropping-particle":"","parse-names":false,"suffix":""},{"dropping-particle":"","family":"Serrano","given":"María Fernanda","non-dropping-particle":"","parse-names":false,"suffix":""}],"container-title":"Ciencia ergo sum","id":"ITEM-1","issue":"1","issued":{"date-parts":[["2022","1","24"]]},"page":"e145","publisher":"Universidad Autónoma del Estado de México","title":"Rol del interventor en la gestión de proyectos de infraestructura pública: estudio de caso del Valle del Cauca, Colombia","type":"article-journal","volume":"29"},"uris":["http://www.mendeley.com/documents/?uuid=804a72d4-7050-3c48-98a8-7339845d54f6"]}],"mendeley":{"formattedCitation":"(Chamorro et al., 2022)","plainTextFormattedCitation":"(Chamorro et al., 2022)","previouslyFormattedCitation":"(Chamorro et al., 2022)"},"properties":{"noteIndex":0},"schema":"https://github.com/citation-style-language/schema/raw/master/csl-citation.json"}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(Chamorro et al., 2022)</w:t>
      </w:r>
      <w:r w:rsidRPr="00155C54">
        <w:rPr>
          <w:rFonts w:ascii="Arial" w:hAnsi="Arial" w:cs="Arial"/>
          <w:sz w:val="20"/>
          <w:szCs w:val="20"/>
        </w:rPr>
        <w:fldChar w:fldCharType="end"/>
      </w:r>
      <w:r w:rsidRPr="00155C54">
        <w:rPr>
          <w:rFonts w:ascii="Arial" w:hAnsi="Arial" w:cs="Arial"/>
          <w:sz w:val="20"/>
          <w:szCs w:val="20"/>
          <w:lang w:val="es-ES"/>
        </w:rPr>
        <w:t>.</w:t>
      </w:r>
    </w:p>
    <w:bookmarkEnd w:id="8"/>
    <w:p w14:paraId="753D81CD" w14:textId="77777777" w:rsidR="00697693" w:rsidRPr="00155C54" w:rsidRDefault="00697693" w:rsidP="00697693">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En este contexto, la influencia de los procesos competitivos y administrativos en las compras públicas sobre la gestión de proyectos ha sido crucial para este estudio. Por lo tanto, la investigación se centró en los fenómenos de licitación y contratación competitiva desde la perspectiva de la gestión de proyectos. Partiendo del supuesto de que el uso de la inversión pública en la región latinoamericana debe ser planificado y controlado estratégicamente mediante la gestión pública, es importante destacar que esta incluye tanto la planificación como el control de la inversión pública en dicha región.</w:t>
      </w:r>
    </w:p>
    <w:p w14:paraId="53A98903" w14:textId="77777777" w:rsidR="00683E7D" w:rsidRPr="00155C54" w:rsidRDefault="00697693" w:rsidP="00697693">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Asimismo, para los fines de este estudio, el control implica la asignación de recursos, las fiscalizaciones, los estados financieros contables, la auditoría de transacciones, los procedimientos de trabajo y abarca todos los servicios públicos y las obras de infraestructura. Por su parte, la planificación asigna el presupuesto correspondiente, los servicios, las actividades y otras obras pertinentes a los objetivos establecidos por los gobiernos. En consecuencia, el objetivo principal del estudio fue analizar el impacto de la contratación pública en la gestión de proyectos en Latinoamérica.</w:t>
      </w:r>
    </w:p>
    <w:p w14:paraId="29FA1587" w14:textId="77777777" w:rsidR="00697693" w:rsidRPr="00155C54" w:rsidRDefault="00697693" w:rsidP="00E271E2">
      <w:pPr>
        <w:spacing w:after="0" w:line="240" w:lineRule="auto"/>
        <w:jc w:val="both"/>
        <w:rPr>
          <w:rFonts w:ascii="Arial" w:hAnsi="Arial" w:cs="Arial"/>
          <w:b/>
          <w:bCs/>
        </w:rPr>
      </w:pPr>
    </w:p>
    <w:p w14:paraId="7A18A2EC" w14:textId="77777777" w:rsidR="00683E7D" w:rsidRPr="00155C54" w:rsidRDefault="00683E7D" w:rsidP="00E271E2">
      <w:pPr>
        <w:spacing w:after="0" w:line="240" w:lineRule="auto"/>
        <w:jc w:val="both"/>
        <w:rPr>
          <w:rFonts w:ascii="Arial" w:hAnsi="Arial" w:cs="Arial"/>
          <w:b/>
          <w:bCs/>
        </w:rPr>
      </w:pPr>
      <w:r w:rsidRPr="00155C54">
        <w:rPr>
          <w:rFonts w:ascii="Arial" w:hAnsi="Arial" w:cs="Arial"/>
          <w:b/>
          <w:bCs/>
        </w:rPr>
        <w:t>Metodología</w:t>
      </w:r>
    </w:p>
    <w:p w14:paraId="1E2F317F" w14:textId="77777777" w:rsidR="00B62AE9" w:rsidRPr="00155C54" w:rsidRDefault="00B62AE9" w:rsidP="00B62AE9">
      <w:pPr>
        <w:spacing w:after="0" w:line="240" w:lineRule="auto"/>
        <w:ind w:firstLine="709"/>
        <w:jc w:val="both"/>
        <w:rPr>
          <w:rFonts w:ascii="Arial" w:hAnsi="Arial" w:cs="Arial"/>
          <w:sz w:val="20"/>
          <w:szCs w:val="20"/>
          <w:lang w:val="es-ES"/>
        </w:rPr>
      </w:pPr>
      <w:bookmarkStart w:id="9" w:name="_Hlk182950695"/>
      <w:r w:rsidRPr="00155C54">
        <w:rPr>
          <w:rFonts w:ascii="Arial" w:hAnsi="Arial" w:cs="Arial"/>
          <w:sz w:val="20"/>
          <w:szCs w:val="20"/>
          <w:lang w:val="es-ES"/>
        </w:rPr>
        <w:t>El estudio se ha desar</w:t>
      </w:r>
      <w:r w:rsidR="00697693" w:rsidRPr="00155C54">
        <w:rPr>
          <w:rFonts w:ascii="Arial" w:hAnsi="Arial" w:cs="Arial"/>
          <w:sz w:val="20"/>
          <w:szCs w:val="20"/>
          <w:lang w:val="es-ES"/>
        </w:rPr>
        <w:t xml:space="preserve">rollado siguiendo las pautas del método </w:t>
      </w:r>
      <w:r w:rsidRPr="00155C54">
        <w:rPr>
          <w:rFonts w:ascii="Arial" w:hAnsi="Arial" w:cs="Arial"/>
          <w:sz w:val="20"/>
          <w:szCs w:val="20"/>
          <w:lang w:val="es-ES"/>
        </w:rPr>
        <w:t xml:space="preserve">PRISMA, </w:t>
      </w:r>
      <w:r w:rsidR="00697693" w:rsidRPr="00155C54">
        <w:rPr>
          <w:rFonts w:ascii="Arial" w:hAnsi="Arial" w:cs="Arial"/>
          <w:sz w:val="20"/>
          <w:szCs w:val="20"/>
          <w:lang w:val="es-ES"/>
        </w:rPr>
        <w:t xml:space="preserve">el </w:t>
      </w:r>
      <w:r w:rsidRPr="00155C54">
        <w:rPr>
          <w:rFonts w:ascii="Arial" w:hAnsi="Arial" w:cs="Arial"/>
          <w:sz w:val="20"/>
          <w:szCs w:val="20"/>
          <w:lang w:val="es-ES"/>
        </w:rPr>
        <w:t>cual es</w:t>
      </w:r>
      <w:r w:rsidR="00697693" w:rsidRPr="00155C54">
        <w:rPr>
          <w:rFonts w:ascii="Arial" w:hAnsi="Arial" w:cs="Arial"/>
          <w:sz w:val="20"/>
          <w:szCs w:val="20"/>
          <w:lang w:val="es-ES"/>
        </w:rPr>
        <w:t>tablece</w:t>
      </w:r>
      <w:r w:rsidRPr="00155C54">
        <w:rPr>
          <w:rFonts w:ascii="Arial" w:hAnsi="Arial" w:cs="Arial"/>
          <w:sz w:val="20"/>
          <w:szCs w:val="20"/>
          <w:lang w:val="es-ES"/>
        </w:rPr>
        <w:t xml:space="preserve"> un conjunto de criterios rigurosos para la realización y reporte de revisiones sistemáticas y </w:t>
      </w:r>
      <w:r w:rsidR="00697693" w:rsidRPr="00155C54">
        <w:rPr>
          <w:rFonts w:ascii="Arial" w:hAnsi="Arial" w:cs="Arial"/>
          <w:sz w:val="20"/>
          <w:szCs w:val="20"/>
          <w:lang w:val="es-ES"/>
        </w:rPr>
        <w:t>metaanálisis</w:t>
      </w:r>
      <w:r w:rsidRPr="00155C54">
        <w:rPr>
          <w:rFonts w:ascii="Arial" w:hAnsi="Arial" w:cs="Arial"/>
          <w:sz w:val="20"/>
          <w:szCs w:val="20"/>
          <w:lang w:val="es-ES"/>
        </w:rPr>
        <w:t xml:space="preserve"> </w:t>
      </w:r>
      <w:bookmarkStart w:id="10" w:name="_Hlk190821232"/>
      <w:r w:rsidRPr="00155C54">
        <w:rPr>
          <w:rFonts w:ascii="Arial" w:hAnsi="Arial" w:cs="Arial"/>
          <w:sz w:val="20"/>
          <w:szCs w:val="20"/>
          <w:lang w:val="es-ES"/>
        </w:rPr>
        <w:fldChar w:fldCharType="begin" w:fldLock="1"/>
      </w:r>
      <w:r w:rsidRPr="00155C54">
        <w:rPr>
          <w:rFonts w:ascii="Arial" w:hAnsi="Arial" w:cs="Arial"/>
          <w:sz w:val="20"/>
          <w:szCs w:val="20"/>
          <w:lang w:val="es-ES"/>
        </w:rPr>
        <w:instrText>ADDIN CSL_CITATION {"citationItems":[{"id":"ITEM-1","itemData":{"DOI":"10.1186/S13643-021-01671-Z/METRICS","ISSN":"20464053","PMID":"33875004","abstract":"It has been more than a decade since the original publication of the Preferred Reporting Items for Systematic Reviews and Meta-Analyses (PRISMA) Statement [1], and it has become one of the most cited reporting guidelines in biomedical literature [2, 3]. Since its publication, multiple extensions of the PRISMA Statement have been published concomitant with the advancement of knowledge synthesis methods [4,5,6,7]. The PRISMA2020 statement, an updated version has recently been published [8], and other extensions are currently in development","author":[{"dropping-particle":"","family":"Sarkis-Onofre","given":"Rafael","non-dropping-particle":"","parse-names":false,"suffix":""},{"dropping-particle":"","family":"Catalá-López","given":"Ferrán","non-dropping-particle":"","parse-names":false,"suffix":""},{"dropping-particle":"","family":"Aromataris","given":"Edoardo","non-dropping-particle":"","parse-names":false,"suffix":""},{"dropping-particle":"","family":"Lockwood","given":"Craig","non-dropping-particle":"","parse-names":false,"suffix":""}],"container-title":"Systematic Reviews","id":"ITEM-1","issue":"1","issued":{"date-parts":[["2021","12","1"]]},"page":"1-3","publisher":"BioMed Central Ltd","title":"How to properly use the PRISMA Statement","type":"article-journal","volume":"10"},"uris":["http://www.mendeley.com/documents/?uuid=d6e69d07-2e7b-38cf-af2d-9637fac67223"]}],"mendeley":{"formattedCitation":"(Sarkis-Onofre et al., 2021)","plainTextFormattedCitation":"(Sarkis-Onofre et al., 2021)","previouslyFormattedCitation":"(Sarkis-Onofre et al., 2021)"},"properties":{"noteIndex":0},"schema":"https://github.com/citation-style-language/schema/raw/master/csl-citation.json"}</w:instrText>
      </w:r>
      <w:r w:rsidRPr="00155C54">
        <w:rPr>
          <w:rFonts w:ascii="Arial" w:hAnsi="Arial" w:cs="Arial"/>
          <w:sz w:val="20"/>
          <w:szCs w:val="20"/>
          <w:lang w:val="es-ES"/>
        </w:rPr>
        <w:fldChar w:fldCharType="separate"/>
      </w:r>
      <w:r w:rsidRPr="00155C54">
        <w:rPr>
          <w:rFonts w:ascii="Arial" w:hAnsi="Arial" w:cs="Arial"/>
          <w:sz w:val="20"/>
          <w:szCs w:val="20"/>
          <w:lang w:val="es-ES"/>
        </w:rPr>
        <w:t>(Sarkis-Onofre et al., 2021)</w:t>
      </w:r>
      <w:r w:rsidRPr="00155C54">
        <w:rPr>
          <w:rFonts w:ascii="Arial" w:hAnsi="Arial" w:cs="Arial"/>
          <w:sz w:val="20"/>
          <w:szCs w:val="20"/>
        </w:rPr>
        <w:fldChar w:fldCharType="end"/>
      </w:r>
      <w:bookmarkEnd w:id="10"/>
      <w:r w:rsidRPr="00155C54">
        <w:rPr>
          <w:rFonts w:ascii="Arial" w:hAnsi="Arial" w:cs="Arial"/>
          <w:sz w:val="20"/>
          <w:szCs w:val="20"/>
          <w:lang w:val="es-ES"/>
        </w:rPr>
        <w:t xml:space="preserve">. </w:t>
      </w:r>
      <w:r w:rsidR="00697693" w:rsidRPr="00155C54">
        <w:rPr>
          <w:rFonts w:ascii="Arial" w:hAnsi="Arial" w:cs="Arial"/>
          <w:sz w:val="20"/>
          <w:szCs w:val="20"/>
          <w:lang w:val="es-ES"/>
        </w:rPr>
        <w:t>El</w:t>
      </w:r>
      <w:r w:rsidRPr="00155C54">
        <w:rPr>
          <w:rFonts w:ascii="Arial" w:hAnsi="Arial" w:cs="Arial"/>
          <w:sz w:val="20"/>
          <w:szCs w:val="20"/>
          <w:lang w:val="es-ES"/>
        </w:rPr>
        <w:t xml:space="preserve"> propósito</w:t>
      </w:r>
      <w:r w:rsidR="00697693" w:rsidRPr="00155C54">
        <w:rPr>
          <w:rFonts w:ascii="Arial" w:hAnsi="Arial" w:cs="Arial"/>
          <w:sz w:val="20"/>
          <w:szCs w:val="20"/>
          <w:lang w:val="es-ES"/>
        </w:rPr>
        <w:t xml:space="preserve"> de su aplicación</w:t>
      </w:r>
      <w:r w:rsidRPr="00155C54">
        <w:rPr>
          <w:rFonts w:ascii="Arial" w:hAnsi="Arial" w:cs="Arial"/>
          <w:sz w:val="20"/>
          <w:szCs w:val="20"/>
          <w:lang w:val="es-ES"/>
        </w:rPr>
        <w:t xml:space="preserve"> fue garantizar la transparencia, reproducibilidad y calidad metodológica en la síntesis de evidencia científica. </w:t>
      </w:r>
      <w:r w:rsidR="00824E2F" w:rsidRPr="00155C54">
        <w:rPr>
          <w:rFonts w:ascii="Arial" w:hAnsi="Arial" w:cs="Arial"/>
          <w:sz w:val="20"/>
          <w:szCs w:val="20"/>
          <w:lang w:val="es-ES"/>
        </w:rPr>
        <w:t>Asimismo,</w:t>
      </w:r>
      <w:r w:rsidRPr="00155C54">
        <w:rPr>
          <w:rFonts w:ascii="Arial" w:hAnsi="Arial" w:cs="Arial"/>
          <w:sz w:val="20"/>
          <w:szCs w:val="20"/>
          <w:lang w:val="es-ES"/>
        </w:rPr>
        <w:t xml:space="preserve"> </w:t>
      </w:r>
      <w:r w:rsidR="00824E2F" w:rsidRPr="00155C54">
        <w:rPr>
          <w:rFonts w:ascii="Arial" w:hAnsi="Arial" w:cs="Arial"/>
          <w:sz w:val="20"/>
          <w:szCs w:val="20"/>
          <w:lang w:val="es-ES"/>
        </w:rPr>
        <w:t xml:space="preserve">su ejecución </w:t>
      </w:r>
      <w:r w:rsidRPr="00155C54">
        <w:rPr>
          <w:rFonts w:ascii="Arial" w:hAnsi="Arial" w:cs="Arial"/>
          <w:sz w:val="20"/>
          <w:szCs w:val="20"/>
          <w:lang w:val="es-ES"/>
        </w:rPr>
        <w:t>ha permitido la toma de decisiones basada en información precisa y confiable relacionada a la contratación pública y a la gestión de proyectos.</w:t>
      </w:r>
    </w:p>
    <w:p w14:paraId="138A8F0F" w14:textId="77777777" w:rsidR="00B62AE9"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 xml:space="preserve">En ese sentido, el proceso inició con la búsqueda de los estudios relacionados a la contratación pública y su impacto en la gestión pública en Latinoamérica. Dicha búsqueda se desarrolló durante el período de diciembre </w:t>
      </w:r>
      <w:r w:rsidR="00824E2F" w:rsidRPr="00155C54">
        <w:rPr>
          <w:rFonts w:ascii="Arial" w:hAnsi="Arial" w:cs="Arial"/>
          <w:sz w:val="20"/>
          <w:szCs w:val="20"/>
          <w:lang w:val="es-ES"/>
        </w:rPr>
        <w:t xml:space="preserve">de </w:t>
      </w:r>
      <w:r w:rsidRPr="00155C54">
        <w:rPr>
          <w:rFonts w:ascii="Arial" w:hAnsi="Arial" w:cs="Arial"/>
          <w:sz w:val="20"/>
          <w:szCs w:val="20"/>
          <w:lang w:val="es-ES"/>
        </w:rPr>
        <w:t xml:space="preserve">2024 a enero de 2025 y se </w:t>
      </w:r>
      <w:r w:rsidR="00824E2F" w:rsidRPr="00155C54">
        <w:rPr>
          <w:rFonts w:ascii="Arial" w:hAnsi="Arial" w:cs="Arial"/>
          <w:sz w:val="20"/>
          <w:szCs w:val="20"/>
          <w:lang w:val="es-ES"/>
        </w:rPr>
        <w:t>centró</w:t>
      </w:r>
      <w:r w:rsidRPr="00155C54">
        <w:rPr>
          <w:rFonts w:ascii="Arial" w:hAnsi="Arial" w:cs="Arial"/>
          <w:sz w:val="20"/>
          <w:szCs w:val="20"/>
          <w:lang w:val="es-ES"/>
        </w:rPr>
        <w:t xml:space="preserve"> fundamentalmente en tres bases de datos: </w:t>
      </w:r>
      <w:proofErr w:type="spellStart"/>
      <w:r w:rsidRPr="00155C54">
        <w:rPr>
          <w:rFonts w:ascii="Arial" w:hAnsi="Arial" w:cs="Arial"/>
          <w:sz w:val="20"/>
          <w:szCs w:val="20"/>
          <w:lang w:val="es-ES"/>
        </w:rPr>
        <w:t>Scopus</w:t>
      </w:r>
      <w:proofErr w:type="spellEnd"/>
      <w:r w:rsidRPr="00155C54">
        <w:rPr>
          <w:rFonts w:ascii="Arial" w:hAnsi="Arial" w:cs="Arial"/>
          <w:sz w:val="20"/>
          <w:szCs w:val="20"/>
          <w:lang w:val="es-ES"/>
        </w:rPr>
        <w:t xml:space="preserve">, Web of Science y Scielo. </w:t>
      </w:r>
      <w:r w:rsidR="00824E2F" w:rsidRPr="00155C54">
        <w:rPr>
          <w:rFonts w:ascii="Arial" w:hAnsi="Arial" w:cs="Arial"/>
          <w:sz w:val="20"/>
          <w:szCs w:val="20"/>
          <w:lang w:val="en-US"/>
        </w:rPr>
        <w:t xml:space="preserve">El </w:t>
      </w:r>
      <w:proofErr w:type="spellStart"/>
      <w:r w:rsidR="00824E2F" w:rsidRPr="00155C54">
        <w:rPr>
          <w:rFonts w:ascii="Arial" w:hAnsi="Arial" w:cs="Arial"/>
          <w:sz w:val="20"/>
          <w:szCs w:val="20"/>
          <w:lang w:val="en-US"/>
        </w:rPr>
        <w:t>operador</w:t>
      </w:r>
      <w:proofErr w:type="spellEnd"/>
      <w:r w:rsidR="00824E2F" w:rsidRPr="00155C54">
        <w:rPr>
          <w:rFonts w:ascii="Arial" w:hAnsi="Arial" w:cs="Arial"/>
          <w:sz w:val="20"/>
          <w:szCs w:val="20"/>
          <w:lang w:val="en-US"/>
        </w:rPr>
        <w:t xml:space="preserve"> </w:t>
      </w:r>
      <w:proofErr w:type="spellStart"/>
      <w:r w:rsidR="00824E2F" w:rsidRPr="00155C54">
        <w:rPr>
          <w:rFonts w:ascii="Arial" w:hAnsi="Arial" w:cs="Arial"/>
          <w:sz w:val="20"/>
          <w:szCs w:val="20"/>
          <w:lang w:val="en-US"/>
        </w:rPr>
        <w:t>booleano</w:t>
      </w:r>
      <w:proofErr w:type="spellEnd"/>
      <w:r w:rsidR="00824E2F" w:rsidRPr="00155C54">
        <w:rPr>
          <w:rFonts w:ascii="Arial" w:hAnsi="Arial" w:cs="Arial"/>
          <w:sz w:val="20"/>
          <w:szCs w:val="20"/>
          <w:lang w:val="en-US"/>
        </w:rPr>
        <w:t xml:space="preserve"> </w:t>
      </w:r>
      <w:proofErr w:type="spellStart"/>
      <w:r w:rsidR="00824E2F" w:rsidRPr="00155C54">
        <w:rPr>
          <w:rFonts w:ascii="Arial" w:hAnsi="Arial" w:cs="Arial"/>
          <w:sz w:val="20"/>
          <w:szCs w:val="20"/>
          <w:lang w:val="en-US"/>
        </w:rPr>
        <w:t>utilizado</w:t>
      </w:r>
      <w:proofErr w:type="spellEnd"/>
      <w:r w:rsidR="00824E2F" w:rsidRPr="00155C54">
        <w:rPr>
          <w:rFonts w:ascii="Arial" w:hAnsi="Arial" w:cs="Arial"/>
          <w:sz w:val="20"/>
          <w:szCs w:val="20"/>
          <w:lang w:val="en-US"/>
        </w:rPr>
        <w:t xml:space="preserve"> </w:t>
      </w:r>
      <w:proofErr w:type="spellStart"/>
      <w:r w:rsidR="00824E2F" w:rsidRPr="00155C54">
        <w:rPr>
          <w:rFonts w:ascii="Arial" w:hAnsi="Arial" w:cs="Arial"/>
          <w:sz w:val="20"/>
          <w:szCs w:val="20"/>
          <w:lang w:val="en-US"/>
        </w:rPr>
        <w:t>fue</w:t>
      </w:r>
      <w:proofErr w:type="spellEnd"/>
      <w:r w:rsidR="00824E2F" w:rsidRPr="00155C54">
        <w:rPr>
          <w:rFonts w:ascii="Arial" w:hAnsi="Arial" w:cs="Arial"/>
          <w:sz w:val="20"/>
          <w:szCs w:val="20"/>
          <w:lang w:val="en-US"/>
        </w:rPr>
        <w:t>: ("</w:t>
      </w:r>
      <w:r w:rsidR="00824E2F" w:rsidRPr="00155C54">
        <w:rPr>
          <w:rFonts w:ascii="Arial" w:hAnsi="Arial" w:cs="Arial"/>
          <w:i/>
          <w:sz w:val="20"/>
          <w:szCs w:val="20"/>
          <w:lang w:val="en-US"/>
        </w:rPr>
        <w:t>public procurement</w:t>
      </w:r>
      <w:r w:rsidR="00824E2F" w:rsidRPr="00155C54">
        <w:rPr>
          <w:rFonts w:ascii="Arial" w:hAnsi="Arial" w:cs="Arial"/>
          <w:sz w:val="20"/>
          <w:szCs w:val="20"/>
          <w:lang w:val="en-US"/>
        </w:rPr>
        <w:t xml:space="preserve">") </w:t>
      </w:r>
      <w:r w:rsidR="00824E2F" w:rsidRPr="00155C54">
        <w:rPr>
          <w:rFonts w:ascii="Arial" w:hAnsi="Arial" w:cs="Arial"/>
          <w:i/>
          <w:sz w:val="20"/>
          <w:szCs w:val="20"/>
          <w:lang w:val="en-US"/>
        </w:rPr>
        <w:t>OR</w:t>
      </w:r>
      <w:r w:rsidR="00824E2F" w:rsidRPr="00155C54">
        <w:rPr>
          <w:rFonts w:ascii="Arial" w:hAnsi="Arial" w:cs="Arial"/>
          <w:sz w:val="20"/>
          <w:szCs w:val="20"/>
          <w:lang w:val="en-US"/>
        </w:rPr>
        <w:t xml:space="preserve"> ("</w:t>
      </w:r>
      <w:r w:rsidR="00824E2F" w:rsidRPr="00155C54">
        <w:rPr>
          <w:rFonts w:ascii="Arial" w:hAnsi="Arial" w:cs="Arial"/>
          <w:i/>
          <w:sz w:val="20"/>
          <w:szCs w:val="20"/>
          <w:lang w:val="en-US"/>
        </w:rPr>
        <w:t>public sector procurement</w:t>
      </w:r>
      <w:r w:rsidR="00824E2F" w:rsidRPr="00155C54">
        <w:rPr>
          <w:rFonts w:ascii="Arial" w:hAnsi="Arial" w:cs="Arial"/>
          <w:sz w:val="20"/>
          <w:szCs w:val="20"/>
          <w:lang w:val="en-US"/>
        </w:rPr>
        <w:t xml:space="preserve">") </w:t>
      </w:r>
      <w:r w:rsidR="00824E2F" w:rsidRPr="00155C54">
        <w:rPr>
          <w:rFonts w:ascii="Arial" w:hAnsi="Arial" w:cs="Arial"/>
          <w:i/>
          <w:sz w:val="20"/>
          <w:szCs w:val="20"/>
          <w:lang w:val="en-US"/>
        </w:rPr>
        <w:t>OR</w:t>
      </w:r>
      <w:r w:rsidR="00824E2F" w:rsidRPr="00155C54">
        <w:rPr>
          <w:rFonts w:ascii="Arial" w:hAnsi="Arial" w:cs="Arial"/>
          <w:sz w:val="20"/>
          <w:szCs w:val="20"/>
          <w:lang w:val="en-US"/>
        </w:rPr>
        <w:t xml:space="preserve"> ("</w:t>
      </w:r>
      <w:r w:rsidR="00824E2F" w:rsidRPr="00155C54">
        <w:rPr>
          <w:rFonts w:ascii="Arial" w:hAnsi="Arial" w:cs="Arial"/>
          <w:i/>
          <w:sz w:val="20"/>
          <w:szCs w:val="20"/>
          <w:lang w:val="en-US"/>
        </w:rPr>
        <w:t>government contracting</w:t>
      </w:r>
      <w:r w:rsidR="00824E2F" w:rsidRPr="00155C54">
        <w:rPr>
          <w:rFonts w:ascii="Arial" w:hAnsi="Arial" w:cs="Arial"/>
          <w:sz w:val="20"/>
          <w:szCs w:val="20"/>
          <w:lang w:val="en-US"/>
        </w:rPr>
        <w:t xml:space="preserve">") </w:t>
      </w:r>
      <w:r w:rsidR="00824E2F" w:rsidRPr="00155C54">
        <w:rPr>
          <w:rFonts w:ascii="Arial" w:hAnsi="Arial" w:cs="Arial"/>
          <w:i/>
          <w:sz w:val="20"/>
          <w:szCs w:val="20"/>
          <w:lang w:val="en-US"/>
        </w:rPr>
        <w:t>AND</w:t>
      </w:r>
      <w:r w:rsidR="00824E2F" w:rsidRPr="00155C54">
        <w:rPr>
          <w:rFonts w:ascii="Arial" w:hAnsi="Arial" w:cs="Arial"/>
          <w:sz w:val="20"/>
          <w:szCs w:val="20"/>
          <w:lang w:val="en-US"/>
        </w:rPr>
        <w:t xml:space="preserve"> ("</w:t>
      </w:r>
      <w:r w:rsidR="00824E2F" w:rsidRPr="00155C54">
        <w:rPr>
          <w:rFonts w:ascii="Arial" w:hAnsi="Arial" w:cs="Arial"/>
          <w:i/>
          <w:sz w:val="20"/>
          <w:szCs w:val="20"/>
          <w:lang w:val="en-US"/>
        </w:rPr>
        <w:t>project management</w:t>
      </w:r>
      <w:r w:rsidR="00824E2F" w:rsidRPr="00155C54">
        <w:rPr>
          <w:rFonts w:ascii="Arial" w:hAnsi="Arial" w:cs="Arial"/>
          <w:sz w:val="20"/>
          <w:szCs w:val="20"/>
          <w:lang w:val="en-US"/>
        </w:rPr>
        <w:t xml:space="preserve">"). </w:t>
      </w:r>
      <w:r w:rsidR="00824E2F" w:rsidRPr="00155C54">
        <w:rPr>
          <w:rFonts w:ascii="Arial" w:hAnsi="Arial" w:cs="Arial"/>
          <w:sz w:val="20"/>
          <w:szCs w:val="20"/>
          <w:lang w:val="es-ES"/>
        </w:rPr>
        <w:t>Este enfoque permitió seleccionar las áreas pertinentes del estudio mediante palabras clave relacionadas, lo que resultó ideal para centrar la investigación en los temas relevantes.</w:t>
      </w:r>
    </w:p>
    <w:p w14:paraId="459EF596" w14:textId="77777777" w:rsidR="00B62AE9" w:rsidRPr="00155C54" w:rsidRDefault="00824E2F"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Por su parte, l</w:t>
      </w:r>
      <w:r w:rsidR="00B62AE9" w:rsidRPr="00155C54">
        <w:rPr>
          <w:rFonts w:ascii="Arial" w:hAnsi="Arial" w:cs="Arial"/>
          <w:sz w:val="20"/>
          <w:szCs w:val="20"/>
          <w:lang w:val="es-ES"/>
        </w:rPr>
        <w:t xml:space="preserve">os criterios de inclusión </w:t>
      </w:r>
      <w:r w:rsidRPr="00155C54">
        <w:rPr>
          <w:rFonts w:ascii="Arial" w:hAnsi="Arial" w:cs="Arial"/>
          <w:sz w:val="20"/>
          <w:szCs w:val="20"/>
          <w:lang w:val="es-ES"/>
        </w:rPr>
        <w:t>determinaron</w:t>
      </w:r>
      <w:r w:rsidR="00B62AE9" w:rsidRPr="00155C54">
        <w:rPr>
          <w:rFonts w:ascii="Arial" w:hAnsi="Arial" w:cs="Arial"/>
          <w:sz w:val="20"/>
          <w:szCs w:val="20"/>
          <w:lang w:val="es-ES"/>
        </w:rPr>
        <w:t xml:space="preserve"> que solo se incluirían artículos académicos indexados </w:t>
      </w:r>
      <w:r w:rsidRPr="00155C54">
        <w:rPr>
          <w:rFonts w:ascii="Arial" w:hAnsi="Arial" w:cs="Arial"/>
          <w:sz w:val="20"/>
          <w:szCs w:val="20"/>
          <w:lang w:val="es-ES"/>
        </w:rPr>
        <w:t xml:space="preserve">y </w:t>
      </w:r>
      <w:r w:rsidR="00B62AE9" w:rsidRPr="00155C54">
        <w:rPr>
          <w:rFonts w:ascii="Arial" w:hAnsi="Arial" w:cs="Arial"/>
          <w:sz w:val="20"/>
          <w:szCs w:val="20"/>
          <w:lang w:val="es-ES"/>
        </w:rPr>
        <w:t>publicados d</w:t>
      </w:r>
      <w:r w:rsidRPr="00155C54">
        <w:rPr>
          <w:rFonts w:ascii="Arial" w:hAnsi="Arial" w:cs="Arial"/>
          <w:sz w:val="20"/>
          <w:szCs w:val="20"/>
          <w:lang w:val="es-ES"/>
        </w:rPr>
        <w:t>esde el año 2020 hasta el 2024, así como artículos</w:t>
      </w:r>
      <w:r w:rsidR="00B62AE9" w:rsidRPr="00155C54">
        <w:rPr>
          <w:rFonts w:ascii="Arial" w:hAnsi="Arial" w:cs="Arial"/>
          <w:sz w:val="20"/>
          <w:szCs w:val="20"/>
          <w:lang w:val="es-ES"/>
        </w:rPr>
        <w:t xml:space="preserve"> disponibles en los idiomas inglés, español o portugués, y de acceso abierto que aborden el contexto latinoamericano en el campo de las ciencias sociales y la administración pública. </w:t>
      </w:r>
      <w:r w:rsidRPr="00155C54">
        <w:rPr>
          <w:rFonts w:ascii="Arial" w:hAnsi="Arial" w:cs="Arial"/>
          <w:sz w:val="20"/>
          <w:szCs w:val="20"/>
          <w:lang w:val="es-ES"/>
        </w:rPr>
        <w:t>En tanto, l</w:t>
      </w:r>
      <w:r w:rsidR="00B62AE9" w:rsidRPr="00155C54">
        <w:rPr>
          <w:rFonts w:ascii="Arial" w:hAnsi="Arial" w:cs="Arial"/>
          <w:sz w:val="20"/>
          <w:szCs w:val="20"/>
          <w:lang w:val="es-ES"/>
        </w:rPr>
        <w:t>os criterios de exclusión incluyeron</w:t>
      </w:r>
      <w:r w:rsidRPr="00155C54">
        <w:rPr>
          <w:rFonts w:ascii="Arial" w:hAnsi="Arial" w:cs="Arial"/>
          <w:sz w:val="20"/>
          <w:szCs w:val="20"/>
          <w:lang w:val="es-ES"/>
        </w:rPr>
        <w:t xml:space="preserve">: </w:t>
      </w:r>
      <w:r w:rsidR="00B62AE9" w:rsidRPr="00155C54">
        <w:rPr>
          <w:rFonts w:ascii="Arial" w:hAnsi="Arial" w:cs="Arial"/>
          <w:sz w:val="20"/>
          <w:szCs w:val="20"/>
          <w:lang w:val="es-ES"/>
        </w:rPr>
        <w:t>tesis y disertaciones, monografías, actas, libros y artículos de revisión de literatura.</w:t>
      </w:r>
    </w:p>
    <w:p w14:paraId="7E404BBD" w14:textId="77777777" w:rsidR="00AF54DE"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 xml:space="preserve">El proceso de selección implicó tres etapas de análisis. Para la etapa de identificación, se </w:t>
      </w:r>
      <w:r w:rsidR="00824E2F" w:rsidRPr="00155C54">
        <w:rPr>
          <w:rFonts w:ascii="Arial" w:hAnsi="Arial" w:cs="Arial"/>
          <w:sz w:val="20"/>
          <w:szCs w:val="20"/>
          <w:lang w:val="es-ES"/>
        </w:rPr>
        <w:t>detectaron</w:t>
      </w:r>
      <w:r w:rsidRPr="00155C54">
        <w:rPr>
          <w:rFonts w:ascii="Arial" w:hAnsi="Arial" w:cs="Arial"/>
          <w:sz w:val="20"/>
          <w:szCs w:val="20"/>
          <w:lang w:val="es-ES"/>
        </w:rPr>
        <w:t xml:space="preserve"> 3476 artíc</w:t>
      </w:r>
      <w:r w:rsidR="00824E2F" w:rsidRPr="00155C54">
        <w:rPr>
          <w:rFonts w:ascii="Arial" w:hAnsi="Arial" w:cs="Arial"/>
          <w:sz w:val="20"/>
          <w:szCs w:val="20"/>
          <w:lang w:val="es-ES"/>
        </w:rPr>
        <w:t>ulos. Luego, después de excluir los documentos duplicados quedaron</w:t>
      </w:r>
      <w:r w:rsidRPr="00155C54">
        <w:rPr>
          <w:rFonts w:ascii="Arial" w:hAnsi="Arial" w:cs="Arial"/>
          <w:sz w:val="20"/>
          <w:szCs w:val="20"/>
          <w:lang w:val="es-ES"/>
        </w:rPr>
        <w:t xml:space="preserve"> 3401 </w:t>
      </w:r>
      <w:r w:rsidR="00824E2F" w:rsidRPr="00155C54">
        <w:rPr>
          <w:rFonts w:ascii="Arial" w:hAnsi="Arial" w:cs="Arial"/>
          <w:sz w:val="20"/>
          <w:szCs w:val="20"/>
          <w:lang w:val="es-ES"/>
        </w:rPr>
        <w:t>artículos</w:t>
      </w:r>
      <w:r w:rsidRPr="00155C54">
        <w:rPr>
          <w:rFonts w:ascii="Arial" w:hAnsi="Arial" w:cs="Arial"/>
          <w:sz w:val="20"/>
          <w:szCs w:val="20"/>
          <w:lang w:val="es-ES"/>
        </w:rPr>
        <w:t xml:space="preserve">. </w:t>
      </w:r>
      <w:r w:rsidR="00824E2F" w:rsidRPr="00155C54">
        <w:rPr>
          <w:rFonts w:ascii="Arial" w:hAnsi="Arial" w:cs="Arial"/>
          <w:sz w:val="20"/>
          <w:szCs w:val="20"/>
          <w:lang w:val="es-ES"/>
        </w:rPr>
        <w:t>De estos 3401 documentos,</w:t>
      </w:r>
      <w:r w:rsidRPr="00155C54">
        <w:rPr>
          <w:rFonts w:ascii="Arial" w:hAnsi="Arial" w:cs="Arial"/>
          <w:sz w:val="20"/>
          <w:szCs w:val="20"/>
          <w:lang w:val="es-ES"/>
        </w:rPr>
        <w:t xml:space="preserve"> se excluyeron </w:t>
      </w:r>
      <w:r w:rsidR="00824E2F" w:rsidRPr="00155C54">
        <w:rPr>
          <w:rFonts w:ascii="Arial" w:hAnsi="Arial" w:cs="Arial"/>
          <w:sz w:val="20"/>
          <w:szCs w:val="20"/>
          <w:lang w:val="es-ES"/>
        </w:rPr>
        <w:t>aquellos</w:t>
      </w:r>
      <w:r w:rsidRPr="00155C54">
        <w:rPr>
          <w:rFonts w:ascii="Arial" w:hAnsi="Arial" w:cs="Arial"/>
          <w:sz w:val="20"/>
          <w:szCs w:val="20"/>
          <w:lang w:val="es-ES"/>
        </w:rPr>
        <w:t xml:space="preserve"> que no eran</w:t>
      </w:r>
      <w:r w:rsidR="00824E2F" w:rsidRPr="00155C54">
        <w:rPr>
          <w:rFonts w:ascii="Arial" w:hAnsi="Arial" w:cs="Arial"/>
          <w:sz w:val="20"/>
          <w:szCs w:val="20"/>
          <w:lang w:val="es-ES"/>
        </w:rPr>
        <w:t xml:space="preserve"> considerados</w:t>
      </w:r>
      <w:r w:rsidRPr="00155C54">
        <w:rPr>
          <w:rFonts w:ascii="Arial" w:hAnsi="Arial" w:cs="Arial"/>
          <w:sz w:val="20"/>
          <w:szCs w:val="20"/>
          <w:lang w:val="es-ES"/>
        </w:rPr>
        <w:t xml:space="preserve"> artículos científicos, </w:t>
      </w:r>
      <w:r w:rsidR="008F2439" w:rsidRPr="00155C54">
        <w:rPr>
          <w:rFonts w:ascii="Arial" w:hAnsi="Arial" w:cs="Arial"/>
          <w:sz w:val="20"/>
          <w:szCs w:val="20"/>
          <w:lang w:val="es-ES"/>
        </w:rPr>
        <w:t>los textos escritos en idiomas no incluidos en el estudio</w:t>
      </w:r>
      <w:r w:rsidRPr="00155C54">
        <w:rPr>
          <w:rFonts w:ascii="Arial" w:hAnsi="Arial" w:cs="Arial"/>
          <w:sz w:val="20"/>
          <w:szCs w:val="20"/>
          <w:lang w:val="es-ES"/>
        </w:rPr>
        <w:t xml:space="preserve">, los que no eran de acceso abierto y los </w:t>
      </w:r>
      <w:r w:rsidR="008F2439" w:rsidRPr="00155C54">
        <w:rPr>
          <w:rFonts w:ascii="Arial" w:hAnsi="Arial" w:cs="Arial"/>
          <w:sz w:val="20"/>
          <w:szCs w:val="20"/>
          <w:lang w:val="es-ES"/>
        </w:rPr>
        <w:t xml:space="preserve">artículos </w:t>
      </w:r>
      <w:r w:rsidRPr="00155C54">
        <w:rPr>
          <w:rFonts w:ascii="Arial" w:hAnsi="Arial" w:cs="Arial"/>
          <w:sz w:val="20"/>
          <w:szCs w:val="20"/>
          <w:lang w:val="es-ES"/>
        </w:rPr>
        <w:t>que no co</w:t>
      </w:r>
      <w:r w:rsidR="008F2439" w:rsidRPr="00155C54">
        <w:rPr>
          <w:rFonts w:ascii="Arial" w:hAnsi="Arial" w:cs="Arial"/>
          <w:sz w:val="20"/>
          <w:szCs w:val="20"/>
          <w:lang w:val="es-ES"/>
        </w:rPr>
        <w:t xml:space="preserve">rrespondían al rango de estudio. </w:t>
      </w:r>
      <w:r w:rsidR="00AF54DE" w:rsidRPr="00155C54">
        <w:rPr>
          <w:rFonts w:ascii="Arial" w:hAnsi="Arial" w:cs="Arial"/>
          <w:sz w:val="20"/>
          <w:szCs w:val="20"/>
          <w:lang w:val="es-ES"/>
        </w:rPr>
        <w:t xml:space="preserve">Finalmente, se seleccionaron 63 artículos mediante este proceso. En la etapa de elegibilidad, se </w:t>
      </w:r>
      <w:r w:rsidR="00AF54DE" w:rsidRPr="00155C54">
        <w:rPr>
          <w:rFonts w:ascii="Arial" w:hAnsi="Arial" w:cs="Arial"/>
          <w:sz w:val="20"/>
          <w:szCs w:val="20"/>
          <w:lang w:val="es-ES"/>
        </w:rPr>
        <w:lastRenderedPageBreak/>
        <w:t>examinaron detalladamente los resúmenes y los objetivos de los artículos para asegurar que estuvieran alineados con el objetivo del estudio. Esto permitió reducir la cantidad de artículos a 23 documentos relevantes para la revisión sistemática. Este procedimiento garantizó que los estudios seleccionados contuvieran información adecuada y fueran útiles para cumplir con los objetivos específicos del estudio.</w:t>
      </w:r>
    </w:p>
    <w:bookmarkEnd w:id="9"/>
    <w:p w14:paraId="03A6801C" w14:textId="77777777" w:rsidR="008F2439" w:rsidRPr="00155C54" w:rsidRDefault="008F2439" w:rsidP="00B62AE9">
      <w:pPr>
        <w:spacing w:after="0" w:line="240" w:lineRule="auto"/>
        <w:jc w:val="both"/>
        <w:rPr>
          <w:rFonts w:ascii="Arial" w:hAnsi="Arial" w:cs="Arial"/>
          <w:b/>
          <w:bCs/>
          <w:sz w:val="20"/>
          <w:szCs w:val="20"/>
          <w:lang w:val="es-ES"/>
        </w:rPr>
      </w:pPr>
    </w:p>
    <w:p w14:paraId="258D5BC2" w14:textId="77777777" w:rsidR="00B62AE9" w:rsidRPr="00155C54" w:rsidRDefault="00B62AE9" w:rsidP="00B62AE9">
      <w:pPr>
        <w:spacing w:after="0" w:line="240" w:lineRule="auto"/>
        <w:jc w:val="both"/>
        <w:rPr>
          <w:rFonts w:ascii="Arial" w:hAnsi="Arial" w:cs="Arial"/>
          <w:b/>
          <w:bCs/>
          <w:sz w:val="20"/>
          <w:szCs w:val="20"/>
          <w:lang w:val="es-ES"/>
        </w:rPr>
      </w:pPr>
      <w:r w:rsidRPr="00155C54">
        <w:rPr>
          <w:rFonts w:ascii="Arial" w:hAnsi="Arial" w:cs="Arial"/>
          <w:b/>
          <w:bCs/>
          <w:sz w:val="20"/>
          <w:szCs w:val="20"/>
          <w:lang w:val="es-ES"/>
        </w:rPr>
        <w:t>Figura 1</w:t>
      </w:r>
    </w:p>
    <w:p w14:paraId="3B05F40C" w14:textId="77777777" w:rsidR="00B62AE9" w:rsidRPr="00155C54" w:rsidRDefault="00B62AE9" w:rsidP="00B62AE9">
      <w:pPr>
        <w:spacing w:after="0" w:line="240" w:lineRule="auto"/>
        <w:jc w:val="both"/>
        <w:rPr>
          <w:rFonts w:ascii="Arial" w:hAnsi="Arial" w:cs="Arial"/>
          <w:i/>
          <w:sz w:val="20"/>
          <w:szCs w:val="20"/>
          <w:lang w:val="es-ES"/>
        </w:rPr>
      </w:pPr>
      <w:r w:rsidRPr="00155C54">
        <w:rPr>
          <w:rFonts w:ascii="Arial" w:hAnsi="Arial" w:cs="Arial"/>
          <w:i/>
          <w:sz w:val="20"/>
          <w:szCs w:val="20"/>
          <w:lang w:val="es-ES"/>
        </w:rPr>
        <w:t>Diagrama del método prisma</w:t>
      </w:r>
    </w:p>
    <w:p w14:paraId="6E7050A4" w14:textId="77777777" w:rsidR="00B62AE9" w:rsidRPr="00155C54" w:rsidRDefault="00B62AE9" w:rsidP="00B62AE9">
      <w:pPr>
        <w:spacing w:after="0" w:line="240" w:lineRule="auto"/>
        <w:jc w:val="both"/>
        <w:rPr>
          <w:rFonts w:ascii="Arial" w:hAnsi="Arial" w:cs="Arial"/>
          <w:sz w:val="20"/>
          <w:szCs w:val="20"/>
          <w:lang w:val="es-ES"/>
        </w:rPr>
      </w:pPr>
    </w:p>
    <w:p w14:paraId="65D28D13" w14:textId="77777777" w:rsidR="00B62AE9" w:rsidRPr="00155C54" w:rsidRDefault="00B62AE9" w:rsidP="00B62AE9">
      <w:pPr>
        <w:spacing w:after="0" w:line="240" w:lineRule="auto"/>
        <w:jc w:val="both"/>
        <w:rPr>
          <w:rFonts w:ascii="Arial" w:hAnsi="Arial" w:cs="Arial"/>
          <w:sz w:val="20"/>
          <w:szCs w:val="20"/>
          <w:lang w:val="es-ES"/>
        </w:rPr>
      </w:pPr>
    </w:p>
    <w:p w14:paraId="597B0883" w14:textId="77777777" w:rsidR="00B62AE9" w:rsidRPr="00155C54" w:rsidRDefault="00B62AE9" w:rsidP="00B62AE9">
      <w:pPr>
        <w:spacing w:after="0" w:line="240" w:lineRule="auto"/>
        <w:jc w:val="center"/>
        <w:rPr>
          <w:rFonts w:ascii="Arial" w:hAnsi="Arial" w:cs="Arial"/>
          <w:sz w:val="20"/>
          <w:szCs w:val="20"/>
          <w:lang w:val="es-ES"/>
        </w:rPr>
      </w:pPr>
      <w:r w:rsidRPr="00155C54">
        <w:rPr>
          <w:rFonts w:ascii="Arial" w:hAnsi="Arial" w:cs="Arial"/>
          <w:noProof/>
          <w:sz w:val="20"/>
          <w:szCs w:val="20"/>
          <w:lang w:val="en-US"/>
        </w:rPr>
        <w:drawing>
          <wp:inline distT="0" distB="0" distL="0" distR="0" wp14:anchorId="1F13A4E8" wp14:editId="4FAA26A8">
            <wp:extent cx="5040000" cy="5540662"/>
            <wp:effectExtent l="0" t="0" r="8255"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5540662"/>
                    </a:xfrm>
                    <a:prstGeom prst="rect">
                      <a:avLst/>
                    </a:prstGeom>
                    <a:noFill/>
                  </pic:spPr>
                </pic:pic>
              </a:graphicData>
            </a:graphic>
          </wp:inline>
        </w:drawing>
      </w:r>
    </w:p>
    <w:p w14:paraId="60027808" w14:textId="77777777" w:rsidR="00683E7D" w:rsidRPr="00155C54" w:rsidRDefault="00683E7D" w:rsidP="00E271E2">
      <w:pPr>
        <w:spacing w:after="0" w:line="240" w:lineRule="auto"/>
        <w:ind w:firstLine="709"/>
        <w:jc w:val="both"/>
        <w:rPr>
          <w:rFonts w:ascii="Arial" w:hAnsi="Arial" w:cs="Arial"/>
          <w:sz w:val="20"/>
          <w:szCs w:val="20"/>
        </w:rPr>
      </w:pPr>
    </w:p>
    <w:p w14:paraId="59C3C111" w14:textId="77777777" w:rsidR="00B62AE9" w:rsidRPr="00155C54" w:rsidRDefault="00B62AE9" w:rsidP="00E271E2">
      <w:pPr>
        <w:spacing w:after="0" w:line="240" w:lineRule="auto"/>
        <w:jc w:val="both"/>
        <w:rPr>
          <w:rFonts w:ascii="Arial" w:hAnsi="Arial" w:cs="Arial"/>
          <w:b/>
          <w:bCs/>
        </w:rPr>
      </w:pPr>
    </w:p>
    <w:p w14:paraId="45D2942C" w14:textId="77777777" w:rsidR="00AF54DE" w:rsidRPr="00155C54" w:rsidRDefault="00AF54DE" w:rsidP="00E271E2">
      <w:pPr>
        <w:spacing w:after="0" w:line="240" w:lineRule="auto"/>
        <w:jc w:val="both"/>
        <w:rPr>
          <w:rFonts w:ascii="Arial" w:hAnsi="Arial" w:cs="Arial"/>
          <w:b/>
          <w:bCs/>
        </w:rPr>
      </w:pPr>
    </w:p>
    <w:p w14:paraId="3A8B4483" w14:textId="77777777" w:rsidR="00683E7D" w:rsidRPr="00155C54" w:rsidRDefault="00683E7D" w:rsidP="00E271E2">
      <w:pPr>
        <w:spacing w:after="0" w:line="240" w:lineRule="auto"/>
        <w:jc w:val="both"/>
        <w:rPr>
          <w:rFonts w:ascii="Arial" w:hAnsi="Arial" w:cs="Arial"/>
          <w:b/>
          <w:bCs/>
        </w:rPr>
      </w:pPr>
      <w:r w:rsidRPr="00155C54">
        <w:rPr>
          <w:rFonts w:ascii="Arial" w:hAnsi="Arial" w:cs="Arial"/>
          <w:b/>
          <w:bCs/>
        </w:rPr>
        <w:t>Resultados y discusión</w:t>
      </w:r>
    </w:p>
    <w:p w14:paraId="0BD017FB" w14:textId="77777777" w:rsidR="00B62AE9"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El proceso de selección de artículos resultó en la inclusión de 23 artículos científicos, cuyos detalles se presentan a continuación:</w:t>
      </w:r>
    </w:p>
    <w:p w14:paraId="4934A91D" w14:textId="77777777" w:rsidR="00B62AE9" w:rsidRPr="00155C54" w:rsidRDefault="00B62AE9" w:rsidP="00B62AE9">
      <w:pPr>
        <w:spacing w:after="0" w:line="240" w:lineRule="auto"/>
        <w:ind w:firstLine="709"/>
        <w:jc w:val="both"/>
        <w:rPr>
          <w:rFonts w:ascii="Arial" w:hAnsi="Arial" w:cs="Arial"/>
          <w:sz w:val="20"/>
          <w:szCs w:val="20"/>
          <w:lang w:val="es-ES"/>
        </w:rPr>
      </w:pPr>
    </w:p>
    <w:p w14:paraId="04488878" w14:textId="77777777" w:rsidR="00B62AE9" w:rsidRPr="00155C54" w:rsidRDefault="00B62AE9" w:rsidP="00B62AE9">
      <w:pPr>
        <w:spacing w:after="0" w:line="240" w:lineRule="auto"/>
        <w:jc w:val="both"/>
        <w:rPr>
          <w:rFonts w:ascii="Arial" w:hAnsi="Arial" w:cs="Arial"/>
          <w:b/>
          <w:bCs/>
          <w:sz w:val="20"/>
          <w:szCs w:val="20"/>
          <w:lang w:val="es-ES"/>
        </w:rPr>
      </w:pPr>
    </w:p>
    <w:p w14:paraId="6DA80948" w14:textId="77777777" w:rsidR="00B62AE9" w:rsidRPr="00155C54" w:rsidRDefault="00B62AE9" w:rsidP="00B62AE9">
      <w:pPr>
        <w:spacing w:after="0" w:line="240" w:lineRule="auto"/>
        <w:jc w:val="both"/>
        <w:rPr>
          <w:rFonts w:ascii="Arial" w:hAnsi="Arial" w:cs="Arial"/>
          <w:b/>
          <w:bCs/>
          <w:sz w:val="20"/>
          <w:szCs w:val="20"/>
          <w:lang w:val="es-ES"/>
        </w:rPr>
      </w:pPr>
      <w:r w:rsidRPr="00155C54">
        <w:rPr>
          <w:rFonts w:ascii="Arial" w:hAnsi="Arial" w:cs="Arial"/>
          <w:b/>
          <w:bCs/>
          <w:sz w:val="20"/>
          <w:szCs w:val="20"/>
          <w:lang w:val="es-ES"/>
        </w:rPr>
        <w:lastRenderedPageBreak/>
        <w:t>Tabla 1</w:t>
      </w:r>
    </w:p>
    <w:p w14:paraId="6278F701" w14:textId="77777777" w:rsidR="00B62AE9" w:rsidRPr="00155C54" w:rsidRDefault="00B62AE9" w:rsidP="00B62AE9">
      <w:pPr>
        <w:spacing w:after="0" w:line="240" w:lineRule="auto"/>
        <w:jc w:val="both"/>
        <w:rPr>
          <w:rFonts w:ascii="Arial" w:hAnsi="Arial" w:cs="Arial"/>
          <w:i/>
          <w:sz w:val="20"/>
          <w:szCs w:val="20"/>
          <w:lang w:val="es-ES"/>
        </w:rPr>
      </w:pPr>
      <w:r w:rsidRPr="00155C54">
        <w:rPr>
          <w:rFonts w:ascii="Arial" w:hAnsi="Arial" w:cs="Arial"/>
          <w:i/>
          <w:sz w:val="20"/>
          <w:szCs w:val="20"/>
          <w:lang w:val="es-ES"/>
        </w:rPr>
        <w:t>Artículos seleccionados para la revisión sistemática</w:t>
      </w:r>
    </w:p>
    <w:p w14:paraId="55A8D846" w14:textId="77777777" w:rsidR="00B62AE9" w:rsidRPr="00155C54" w:rsidRDefault="00B62AE9" w:rsidP="00B62AE9">
      <w:pPr>
        <w:spacing w:after="0" w:line="240" w:lineRule="auto"/>
        <w:jc w:val="both"/>
        <w:rPr>
          <w:rFonts w:ascii="Arial" w:hAnsi="Arial" w:cs="Arial"/>
          <w:sz w:val="20"/>
          <w:szCs w:val="20"/>
          <w:lang w:val="es-ES"/>
        </w:rPr>
      </w:pPr>
    </w:p>
    <w:tbl>
      <w:tblPr>
        <w:tblStyle w:val="Tablanormal2"/>
        <w:tblW w:w="9638" w:type="dxa"/>
        <w:jc w:val="center"/>
        <w:tblLook w:val="04A0" w:firstRow="1" w:lastRow="0" w:firstColumn="1" w:lastColumn="0" w:noHBand="0" w:noVBand="1"/>
      </w:tblPr>
      <w:tblGrid>
        <w:gridCol w:w="1701"/>
        <w:gridCol w:w="2551"/>
        <w:gridCol w:w="1417"/>
        <w:gridCol w:w="3969"/>
      </w:tblGrid>
      <w:tr w:rsidR="00B62AE9" w:rsidRPr="00155C54" w14:paraId="4060DBD8" w14:textId="77777777" w:rsidTr="00717F0C">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701" w:type="dxa"/>
            <w:vAlign w:val="center"/>
            <w:hideMark/>
          </w:tcPr>
          <w:p w14:paraId="497DD962" w14:textId="77777777" w:rsidR="00B62AE9" w:rsidRPr="00155C54" w:rsidRDefault="00B62AE9" w:rsidP="00B62AE9">
            <w:pPr>
              <w:spacing w:after="0" w:line="240" w:lineRule="auto"/>
              <w:jc w:val="center"/>
              <w:rPr>
                <w:rFonts w:ascii="Arial" w:hAnsi="Arial" w:cs="Arial"/>
                <w:sz w:val="18"/>
                <w:szCs w:val="18"/>
                <w:lang w:val="es-PE"/>
              </w:rPr>
            </w:pPr>
            <w:r w:rsidRPr="00155C54">
              <w:rPr>
                <w:rFonts w:ascii="Arial" w:hAnsi="Arial" w:cs="Arial"/>
                <w:sz w:val="18"/>
                <w:szCs w:val="18"/>
                <w:lang w:val="es-PE"/>
              </w:rPr>
              <w:t>Autor y Año</w:t>
            </w:r>
          </w:p>
        </w:tc>
        <w:tc>
          <w:tcPr>
            <w:tcW w:w="2551" w:type="dxa"/>
            <w:vAlign w:val="center"/>
            <w:hideMark/>
          </w:tcPr>
          <w:p w14:paraId="7C096A47" w14:textId="77777777" w:rsidR="00B62AE9" w:rsidRPr="00155C54" w:rsidRDefault="00B62AE9" w:rsidP="00B62AE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Objetivo</w:t>
            </w:r>
          </w:p>
        </w:tc>
        <w:tc>
          <w:tcPr>
            <w:tcW w:w="1417" w:type="dxa"/>
            <w:vAlign w:val="center"/>
            <w:hideMark/>
          </w:tcPr>
          <w:p w14:paraId="103F124B" w14:textId="77777777" w:rsidR="00B62AE9" w:rsidRPr="00155C54" w:rsidRDefault="00B62AE9" w:rsidP="00B62AE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Enfoque</w:t>
            </w:r>
          </w:p>
        </w:tc>
        <w:tc>
          <w:tcPr>
            <w:tcW w:w="3969" w:type="dxa"/>
            <w:vAlign w:val="center"/>
            <w:hideMark/>
          </w:tcPr>
          <w:p w14:paraId="5EAD7B52" w14:textId="77777777" w:rsidR="00B62AE9" w:rsidRPr="00155C54" w:rsidRDefault="00B62AE9" w:rsidP="00B62AE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Resultado</w:t>
            </w:r>
          </w:p>
        </w:tc>
      </w:tr>
      <w:tr w:rsidR="00B62AE9" w:rsidRPr="00155C54" w14:paraId="7D0D7CB4"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5EDECC40"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{"citationItems":[{"id":"ITEM-1","itemData":{"DOI":"10.14807/ijmp.v13i1.1476","ISSN":"2236-269X","abstract":"Investments in port container terminals are sensitive to uncertainties. Public investments in infrastructure have been significantly reduced in the last decade in developing countries. The Brazilian government infrastructure investment was only 1.85 % of GDP in 2019, representing the lowest level in the last fifty years. Nonetheless, the regulatory framework of the port sector in Brazil has undergone significant changes over time, increasing the number of private port container terminal leases. The expansion capacity of the private port facilities is strongly linked to the demand uncertainty, which impacts the financial return to the long run. In this scenario, the uncertainty of global cargo transportation can discourage infrastructure investments in this class of project in Brazil. To overcome these issues, the financial modelling applying real options approach is better suited than the traditional valuation methods based on Discounted Cash Flow (DCF) analysis. The present study aims to value flexibilities of anticipating, or postponing, or interrupting investments of an existing operational port terminal in Brazil with expansion capacity under the demand uncertainty. The financial decision to invest in a port expansion is modeled by an American option. The results demonstrate that the investor adds significant value to the project by having the possibility to postpone investments. The proposed model presents the contribution of optimizing the decision of sequential expansions of capacity in port terminals, at any time and according to scenarios' revelation. In addition, the model allows the government authorities to review lease contracts, considering the relevance of timing to invest in project expansion decisions. The proposed model can also be extended to other infrastructure projects in emerging economies.","author":[{"dropping-particle":"","family":"Assis","given":"Ana Carolina Velloso","non-dropping-particle":"","parse-names":false,"suffix":""},{"dropping-particle":"","family":"Silva","given":"Rafael Igrejas","non-dropping-particle":"","parse-names":false,"suffix":""},{"dropping-particle":"","family":"Gomes","given":"Luiz Flavio Autran Monteiro","non-dropping-particle":"","parse-names":false,"suffix":""},{"dropping-particle":"","family":"Gonçalves","given":"Edson Daniel Lopes","non-dropping-particle":"","parse-names":false,"suffix":""}],"container-title":"Independent Journal of Management &amp; Production","id":"ITEM-1","issue":"1","issued":{"date-parts":[["2022","3","1"]]},"page":"234-257","publisher":"Independent Journal of Management and Production","title":"Port capacity expansion under real options approach: a case study in Brazil","type":"article-journal","volume":"13"},"uris":["http://www.mendeley.com/documents/?uuid=e7429400-a243-3418-9f72-6fd18d4a47f2"]}],"mendeley":{"formattedCitation":"(Assis et al., 2022)","manualFormatting":"Assis et al.\r(2022)","plainTextFormattedCitation":"(Assis et al., 2022)","previouslyFormattedCitation":"(Assis et al., 2022)"},"properties":{"noteIndex":0},"schema":"https://github.com/citation-style-language/schema/raw/master/csl-citation.json"}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Assis et al.</w:t>
            </w:r>
          </w:p>
          <w:p w14:paraId="244EAAD6"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(2022)</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78FCA9AF"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Evaluar</w:t>
            </w:r>
            <w:r w:rsidR="00AF54DE" w:rsidRPr="00155C54">
              <w:rPr>
                <w:rFonts w:ascii="Arial" w:hAnsi="Arial" w:cs="Arial"/>
                <w:sz w:val="18"/>
                <w:szCs w:val="18"/>
                <w:lang w:val="es-PE"/>
              </w:rPr>
              <w:t xml:space="preserve"> el</w:t>
            </w:r>
            <w:r w:rsidRPr="00155C54">
              <w:rPr>
                <w:rFonts w:ascii="Arial" w:hAnsi="Arial" w:cs="Arial"/>
                <w:sz w:val="18"/>
                <w:szCs w:val="18"/>
                <w:lang w:val="es-PE"/>
              </w:rPr>
              <w:t xml:space="preserve"> impacto de flexibilidad contractual en </w:t>
            </w:r>
            <w:r w:rsidR="00AF54DE" w:rsidRPr="00155C54">
              <w:rPr>
                <w:rFonts w:ascii="Arial" w:hAnsi="Arial" w:cs="Arial"/>
                <w:sz w:val="18"/>
                <w:szCs w:val="18"/>
                <w:lang w:val="es-PE"/>
              </w:rPr>
              <w:t xml:space="preserve">la </w:t>
            </w:r>
            <w:r w:rsidRPr="00155C54">
              <w:rPr>
                <w:rFonts w:ascii="Arial" w:hAnsi="Arial" w:cs="Arial"/>
                <w:sz w:val="18"/>
                <w:szCs w:val="18"/>
                <w:lang w:val="es-PE"/>
              </w:rPr>
              <w:t>gestión de proyectos portuarios.</w:t>
            </w:r>
          </w:p>
        </w:tc>
        <w:tc>
          <w:tcPr>
            <w:tcW w:w="1417" w:type="dxa"/>
            <w:vAlign w:val="center"/>
          </w:tcPr>
          <w:p w14:paraId="10068587"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Cuantitativo</w:t>
            </w:r>
            <w:r w:rsidRPr="00155C54">
              <w:rPr>
                <w:rFonts w:ascii="Arial" w:hAnsi="Arial" w:cs="Arial"/>
                <w:sz w:val="18"/>
                <w:szCs w:val="18"/>
                <w:lang w:val="es-PE"/>
              </w:rPr>
              <w:br/>
              <w:t>No experimental</w:t>
            </w:r>
          </w:p>
        </w:tc>
        <w:tc>
          <w:tcPr>
            <w:tcW w:w="3969" w:type="dxa"/>
            <w:vAlign w:val="center"/>
          </w:tcPr>
          <w:p w14:paraId="653D55B2"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flexibilidad en concesiones portuarias optimiza la gestión de proyectos, mejora </w:t>
            </w:r>
            <w:r w:rsidR="00AF54DE" w:rsidRPr="00155C54">
              <w:rPr>
                <w:rFonts w:ascii="Arial" w:hAnsi="Arial" w:cs="Arial"/>
                <w:sz w:val="18"/>
                <w:szCs w:val="18"/>
                <w:lang w:val="es-ES"/>
              </w:rPr>
              <w:t xml:space="preserve">la </w:t>
            </w:r>
            <w:r w:rsidRPr="00155C54">
              <w:rPr>
                <w:rFonts w:ascii="Arial" w:hAnsi="Arial" w:cs="Arial"/>
                <w:sz w:val="18"/>
                <w:szCs w:val="18"/>
                <w:lang w:val="es-ES"/>
              </w:rPr>
              <w:t>viabilidad financiera, reduce riesgos y facilita inversiones públicas.</w:t>
            </w:r>
          </w:p>
        </w:tc>
      </w:tr>
      <w:tr w:rsidR="00B62AE9" w:rsidRPr="00155C54" w14:paraId="21CDCA28"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09760CF1"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{"citationItems":[{"id":"ITEM-1","itemData":{"DOI":"10.1590/1679-395120210135X","ISSN":"1679-3951","abstract":"Abstract Project management increasingly focuses on delivering benefits, considering institutional complexity and global challenges. Inland waterway transport (IWT) projects appear in the Brazilian Nationally Determined Contribution following the Paris Agreement. However, Brazilian IWT projects remain underdeveloped, and waterway freight transport capacity is underutilized. There is a literature gap on the links between budget performance, policy, politics, and project management. In particular, we know little about the effects of the interactions between governance mechanisms and public budget execution on the procurement of waterway transport infrastructure projects in Brazil. This paper aims to assess Brazilian waterway infrastructure budgetary execution and governance arrangements to determine the influence of these factors on policy failures. We performed a qualitative analysis of policy plans and investments made between 2014 and 2020 through interviews and documental research to examine 109 waterway infrastructure projects. All respondents pointed out the lack of planning as an obstacle to waterway projects, and 74% reported budget shortness. Nevertheless, we found USD 43.2 million available in budgets that were never utilized. The inability to invest is a bigger obstacle for Brazilian waterway projects than budget insufficiency. We recommend an adaptive management approach to allocate investments, in which stakeholders learn together to implement more effective project strategies.","author":[{"dropping-particle":"","family":"Cavalcante","given":"Bruna Renata","non-dropping-particle":"","parse-names":false,"suffix":""},{"dropping-particle":"","family":"Bulhões","given":"Eliezé","non-dropping-particle":"","parse-names":false,"suffix":""},{"dropping-particle":"","family":"Pinho","given":"Antonio Cesar","non-dropping-particle":"","parse-names":false,"suffix":""}],"container-title":"Cadernos EBAPE.BR","id":"ITEM-1","issue":"5","issued":{"date-parts":[["2023","11","17"]]},"page":"e2021-0135","publisher":"Fundação Getulio Vargas, Escola Brasileira de Administração Pública e de Empresas","title":"Budget performance and governance in infrastructure project management: the case of Brazilian inland waterway transport","type":"article-journal","volume":"21"},"uris":["http://www.mendeley.com/documents/?uuid=2edcf7ec-187c-3aa7-b07a-cc1f425a78d6"]}],"mendeley":{"formattedCitation":"(Cavalcante et al., 2023)","manualFormatting":"Cavalcante et al. (2023)","plainTextFormattedCitation":"(Cavalcante et al., 2023)","previouslyFormattedCitation":"(Cavalcante et al., 2023)"},"properties":{"noteIndex":0},"schema":"https://github.com/citation-style-language/schema/raw/master/csl-citation.json"}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Cavalcante et al. (2023)</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10DB1D4B"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Evaluar</w:t>
            </w:r>
            <w:r w:rsidR="00AF54DE" w:rsidRPr="00155C54">
              <w:rPr>
                <w:rFonts w:ascii="Arial" w:hAnsi="Arial" w:cs="Arial"/>
                <w:sz w:val="18"/>
                <w:szCs w:val="18"/>
                <w:lang w:val="es-PE"/>
              </w:rPr>
              <w:t xml:space="preserve"> la</w:t>
            </w:r>
            <w:r w:rsidRPr="00155C54">
              <w:rPr>
                <w:rFonts w:ascii="Arial" w:hAnsi="Arial" w:cs="Arial"/>
                <w:sz w:val="18"/>
                <w:szCs w:val="18"/>
                <w:lang w:val="es-PE"/>
              </w:rPr>
              <w:t xml:space="preserve"> ejecución presupuestaria y </w:t>
            </w:r>
            <w:r w:rsidR="00AF54DE" w:rsidRPr="00155C54">
              <w:rPr>
                <w:rFonts w:ascii="Arial" w:hAnsi="Arial" w:cs="Arial"/>
                <w:sz w:val="18"/>
                <w:szCs w:val="18"/>
                <w:lang w:val="es-PE"/>
              </w:rPr>
              <w:t xml:space="preserve">la </w:t>
            </w:r>
            <w:r w:rsidRPr="00155C54">
              <w:rPr>
                <w:rFonts w:ascii="Arial" w:hAnsi="Arial" w:cs="Arial"/>
                <w:sz w:val="18"/>
                <w:szCs w:val="18"/>
                <w:lang w:val="es-PE"/>
              </w:rPr>
              <w:t xml:space="preserve">gobernanza en </w:t>
            </w:r>
            <w:r w:rsidR="00AF54DE" w:rsidRPr="00155C54">
              <w:rPr>
                <w:rFonts w:ascii="Arial" w:hAnsi="Arial" w:cs="Arial"/>
                <w:sz w:val="18"/>
                <w:szCs w:val="18"/>
                <w:lang w:val="es-PE"/>
              </w:rPr>
              <w:t xml:space="preserve">la </w:t>
            </w:r>
            <w:r w:rsidRPr="00155C54">
              <w:rPr>
                <w:rFonts w:ascii="Arial" w:hAnsi="Arial" w:cs="Arial"/>
                <w:sz w:val="18"/>
                <w:szCs w:val="18"/>
                <w:lang w:val="es-PE"/>
              </w:rPr>
              <w:t>infraestructura fluvial.</w:t>
            </w:r>
          </w:p>
        </w:tc>
        <w:tc>
          <w:tcPr>
            <w:tcW w:w="1417" w:type="dxa"/>
            <w:vAlign w:val="center"/>
          </w:tcPr>
          <w:p w14:paraId="40FF9260"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Cualitativo</w:t>
            </w:r>
            <w:r w:rsidRPr="00155C54">
              <w:rPr>
                <w:rFonts w:ascii="Arial" w:hAnsi="Arial" w:cs="Arial"/>
                <w:sz w:val="18"/>
                <w:szCs w:val="18"/>
                <w:lang w:val="es-PE"/>
              </w:rPr>
              <w:br/>
              <w:t>Análisis documental</w:t>
            </w:r>
          </w:p>
        </w:tc>
        <w:tc>
          <w:tcPr>
            <w:tcW w:w="3969" w:type="dxa"/>
            <w:vAlign w:val="center"/>
          </w:tcPr>
          <w:p w14:paraId="279F3555"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falta de planificación y estabilidad política afecta la contratación pública, limitando </w:t>
            </w:r>
            <w:r w:rsidR="00AF54DE" w:rsidRPr="00155C54">
              <w:rPr>
                <w:rFonts w:ascii="Arial" w:hAnsi="Arial" w:cs="Arial"/>
                <w:sz w:val="18"/>
                <w:szCs w:val="18"/>
                <w:lang w:val="es-ES"/>
              </w:rPr>
              <w:t xml:space="preserve">la </w:t>
            </w:r>
            <w:r w:rsidRPr="00155C54">
              <w:rPr>
                <w:rFonts w:ascii="Arial" w:hAnsi="Arial" w:cs="Arial"/>
                <w:sz w:val="18"/>
                <w:szCs w:val="18"/>
                <w:lang w:val="es-ES"/>
              </w:rPr>
              <w:t xml:space="preserve">ejecución presupuestaria, </w:t>
            </w:r>
            <w:r w:rsidR="00AF54DE" w:rsidRPr="00155C54">
              <w:rPr>
                <w:rFonts w:ascii="Arial" w:hAnsi="Arial" w:cs="Arial"/>
                <w:sz w:val="18"/>
                <w:szCs w:val="18"/>
                <w:lang w:val="es-ES"/>
              </w:rPr>
              <w:t xml:space="preserve">la </w:t>
            </w:r>
            <w:r w:rsidRPr="00155C54">
              <w:rPr>
                <w:rFonts w:ascii="Arial" w:hAnsi="Arial" w:cs="Arial"/>
                <w:sz w:val="18"/>
                <w:szCs w:val="18"/>
                <w:lang w:val="es-ES"/>
              </w:rPr>
              <w:t xml:space="preserve">eficiencia y </w:t>
            </w:r>
            <w:r w:rsidR="00AF54DE" w:rsidRPr="00155C54">
              <w:rPr>
                <w:rFonts w:ascii="Arial" w:hAnsi="Arial" w:cs="Arial"/>
                <w:sz w:val="18"/>
                <w:szCs w:val="18"/>
                <w:lang w:val="es-ES"/>
              </w:rPr>
              <w:t xml:space="preserve">la </w:t>
            </w:r>
            <w:r w:rsidRPr="00155C54">
              <w:rPr>
                <w:rFonts w:ascii="Arial" w:hAnsi="Arial" w:cs="Arial"/>
                <w:sz w:val="18"/>
                <w:szCs w:val="18"/>
                <w:lang w:val="es-ES"/>
              </w:rPr>
              <w:t>distribución de recursos.</w:t>
            </w:r>
          </w:p>
        </w:tc>
      </w:tr>
      <w:tr w:rsidR="00B62AE9" w:rsidRPr="00155C54" w14:paraId="7A1D5C26"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ED136EC"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{"citationItems":[{"id":"ITEM-1","itemData":{"DOI":"10.1590/1413-812320212611.30512020","ISSN":"1413-8123","PMID":"34852101","abstract":"Resumo O Programa de Reestruturação dos Hospitais de Ensino (HE) foi implantado como uma das estratégias para enfrentar a crise do setor. Pretendia introduzir novos modos de financiamento, de gestão e articulação destes hospitais com a rede de saúde. O artigo apresenta resultados de estudo qualitativo, de caso múltiplo, envolvendo quatro HE contratualizados em 2004. Foram entrevistados, em 2010, 32 dirigentes hospitalares, gestores do Sistema Único de Saúde (SUS) e dos ministérios envolvidos. Utilizando como referencial teórico elementos da micropolítica das organizações de saúde, revisitou-se o banco de dados como objetivo analisar as mudanças decorrentes dessa política governamental no cotidiano dos HE, procurando caracterizar o posicionamento e protagonismo dos diferentes atores institucionais e as dificuldades na sua implementação. A despeito da melhoria das condições financeiras, as mudanças observadas nos HE foram restritas. Analisar a política de contratualização permite compreender como um projeto consistente e idealizado pode reproduzir o comportamento conservador que caracteriza a gestão pública.","author":[{"dropping-particle":"","family":"Chioro","given":"Arthur","non-dropping-particle":"","parse-names":false,"suffix":""},{"dropping-particle":"","family":"Andreazza","given":"Rosemarie","non-dropping-particle":"","parse-names":false,"suffix":""},{"dropping-particle":"","family":"Castro Furtado","given":"Lumena Almeida","non-dropping-particle":"","parse-names":false,"suffix":""},{"dropping-particle":"","family":"Araújo","given":"Eliane Cardoso","non-dropping-particle":"de","parse-names":false,"suffix":""},{"dropping-particle":"","family":"Nasser","given":"Mariana Arantes","non-dropping-particle":"","parse-names":false,"suffix":""},{"dropping-particle":"","family":"Cecílio","given":"Luiz Carlos de Oliveira","non-dropping-particle":"","parse-names":false,"suffix":""}],"container-title":"Ciência &amp; Saúde Coletiva","id":"ITEM-1","issue":"11","issued":{"date-parts":[["2021","11","26"]]},"page":"5691-5700","publisher":"ABRASCO - Associação Brasileira de Saúde Coletiva","title":"A política de contratualização dos hospitais de ensino: o que mudou na prática?","type":"article-journal","volume":"26"},"uris":["http://www.mendeley.com/documents/?uuid=8f60c089-e7ff-3da9-8708-d9552f8ae7b0"]}],"mendeley":{"formattedCitation":"(Chioro et al., 2021)","manualFormatting":"Chioro et al. (2021)","plainTextFormattedCitation":"(Chioro et al., 2021)","previouslyFormattedCitation":"(Chioro et al., 2021)"},"properties":{"noteIndex":0},"schema":"https://github.com/citation-style-language/schema/raw/master/csl-citation.json"}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Chioro et al. (2021)</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6B34E621"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Analizar </w:t>
            </w:r>
            <w:r w:rsidR="00AF54DE" w:rsidRPr="00155C54">
              <w:rPr>
                <w:rFonts w:ascii="Arial" w:hAnsi="Arial" w:cs="Arial"/>
                <w:sz w:val="18"/>
                <w:szCs w:val="18"/>
                <w:lang w:val="es-ES"/>
              </w:rPr>
              <w:t xml:space="preserve">los </w:t>
            </w:r>
            <w:r w:rsidRPr="00155C54">
              <w:rPr>
                <w:rFonts w:ascii="Arial" w:hAnsi="Arial" w:cs="Arial"/>
                <w:sz w:val="18"/>
                <w:szCs w:val="18"/>
                <w:lang w:val="es-ES"/>
              </w:rPr>
              <w:t xml:space="preserve">cambios en </w:t>
            </w:r>
            <w:r w:rsidR="00AF54DE" w:rsidRPr="00155C54">
              <w:rPr>
                <w:rFonts w:ascii="Arial" w:hAnsi="Arial" w:cs="Arial"/>
                <w:sz w:val="18"/>
                <w:szCs w:val="18"/>
                <w:lang w:val="es-ES"/>
              </w:rPr>
              <w:t xml:space="preserve">la </w:t>
            </w:r>
            <w:r w:rsidRPr="00155C54">
              <w:rPr>
                <w:rFonts w:ascii="Arial" w:hAnsi="Arial" w:cs="Arial"/>
                <w:sz w:val="18"/>
                <w:szCs w:val="18"/>
                <w:lang w:val="es-ES"/>
              </w:rPr>
              <w:t xml:space="preserve">gestión, asistencia, enseñanza y evaluación tras </w:t>
            </w:r>
            <w:r w:rsidR="00AF54DE" w:rsidRPr="00155C54">
              <w:rPr>
                <w:rFonts w:ascii="Arial" w:hAnsi="Arial" w:cs="Arial"/>
                <w:sz w:val="18"/>
                <w:szCs w:val="18"/>
                <w:lang w:val="es-ES"/>
              </w:rPr>
              <w:t xml:space="preserve">la </w:t>
            </w:r>
            <w:proofErr w:type="spellStart"/>
            <w:r w:rsidRPr="00155C54">
              <w:rPr>
                <w:rFonts w:ascii="Arial" w:hAnsi="Arial" w:cs="Arial"/>
                <w:sz w:val="18"/>
                <w:szCs w:val="18"/>
                <w:lang w:val="es-ES"/>
              </w:rPr>
              <w:t>contratualización</w:t>
            </w:r>
            <w:proofErr w:type="spellEnd"/>
            <w:r w:rsidRPr="00155C54">
              <w:rPr>
                <w:rFonts w:ascii="Arial" w:hAnsi="Arial" w:cs="Arial"/>
                <w:sz w:val="18"/>
                <w:szCs w:val="18"/>
                <w:lang w:val="es-ES"/>
              </w:rPr>
              <w:t xml:space="preserve"> hospitalaria.</w:t>
            </w:r>
          </w:p>
        </w:tc>
        <w:tc>
          <w:tcPr>
            <w:tcW w:w="1417" w:type="dxa"/>
            <w:vAlign w:val="center"/>
          </w:tcPr>
          <w:p w14:paraId="676D7D7E"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Cualitativo</w:t>
            </w:r>
            <w:r w:rsidRPr="00155C54">
              <w:rPr>
                <w:rFonts w:ascii="Arial" w:hAnsi="Arial" w:cs="Arial"/>
                <w:sz w:val="18"/>
                <w:szCs w:val="18"/>
                <w:lang w:val="es-PE"/>
              </w:rPr>
              <w:br/>
              <w:t>Estudio de caso</w:t>
            </w:r>
          </w:p>
        </w:tc>
        <w:tc>
          <w:tcPr>
            <w:tcW w:w="3969" w:type="dxa"/>
            <w:vAlign w:val="center"/>
          </w:tcPr>
          <w:p w14:paraId="6E742E33"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resistencia al cambio y </w:t>
            </w:r>
            <w:r w:rsidR="00AF54DE" w:rsidRPr="00155C54">
              <w:rPr>
                <w:rFonts w:ascii="Arial" w:hAnsi="Arial" w:cs="Arial"/>
                <w:sz w:val="18"/>
                <w:szCs w:val="18"/>
                <w:lang w:val="es-ES"/>
              </w:rPr>
              <w:t xml:space="preserve">las </w:t>
            </w:r>
            <w:r w:rsidRPr="00155C54">
              <w:rPr>
                <w:rFonts w:ascii="Arial" w:hAnsi="Arial" w:cs="Arial"/>
                <w:sz w:val="18"/>
                <w:szCs w:val="18"/>
                <w:lang w:val="es-ES"/>
              </w:rPr>
              <w:t xml:space="preserve">barreras estructurales limitaron </w:t>
            </w:r>
            <w:r w:rsidR="00AF54DE" w:rsidRPr="00155C54">
              <w:rPr>
                <w:rFonts w:ascii="Arial" w:hAnsi="Arial" w:cs="Arial"/>
                <w:sz w:val="18"/>
                <w:szCs w:val="18"/>
                <w:lang w:val="es-ES"/>
              </w:rPr>
              <w:t xml:space="preserve">los </w:t>
            </w:r>
            <w:r w:rsidRPr="00155C54">
              <w:rPr>
                <w:rFonts w:ascii="Arial" w:hAnsi="Arial" w:cs="Arial"/>
                <w:sz w:val="18"/>
                <w:szCs w:val="18"/>
                <w:lang w:val="es-ES"/>
              </w:rPr>
              <w:t xml:space="preserve">avances en contratación pública, afectando proyectos, pero mejorando </w:t>
            </w:r>
            <w:r w:rsidR="00AF54DE" w:rsidRPr="00155C54">
              <w:rPr>
                <w:rFonts w:ascii="Arial" w:hAnsi="Arial" w:cs="Arial"/>
                <w:sz w:val="18"/>
                <w:szCs w:val="18"/>
                <w:lang w:val="es-ES"/>
              </w:rPr>
              <w:t xml:space="preserve">la </w:t>
            </w:r>
            <w:r w:rsidRPr="00155C54">
              <w:rPr>
                <w:rFonts w:ascii="Arial" w:hAnsi="Arial" w:cs="Arial"/>
                <w:sz w:val="18"/>
                <w:szCs w:val="18"/>
                <w:lang w:val="es-ES"/>
              </w:rPr>
              <w:t xml:space="preserve">regulación y </w:t>
            </w:r>
            <w:r w:rsidR="00AF54DE" w:rsidRPr="00155C54">
              <w:rPr>
                <w:rFonts w:ascii="Arial" w:hAnsi="Arial" w:cs="Arial"/>
                <w:sz w:val="18"/>
                <w:szCs w:val="18"/>
                <w:lang w:val="es-ES"/>
              </w:rPr>
              <w:t xml:space="preserve">la </w:t>
            </w:r>
            <w:r w:rsidRPr="00155C54">
              <w:rPr>
                <w:rFonts w:ascii="Arial" w:hAnsi="Arial" w:cs="Arial"/>
                <w:sz w:val="18"/>
                <w:szCs w:val="18"/>
                <w:lang w:val="es-ES"/>
              </w:rPr>
              <w:t>gestión.</w:t>
            </w:r>
          </w:p>
        </w:tc>
      </w:tr>
      <w:tr w:rsidR="00B62AE9" w:rsidRPr="00155C54" w14:paraId="0F693E4B"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5365274C"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{"citationItems":[{"id":"ITEM-1","itemData":{"DOI":"10.5585/gep.v11i3.18475","ISSN":"2236-0972","abstract":"Public procurement materializes government policies and promotes the sustainable development of institutions and society. In Brazilian public agencies, the bureaucracy of the purchasing process and the limited resources difficult the process execution. In this context, it is relevant to apply alternatives that aim to improve the structure of the purchasing process, achieve strategic results, avoid rework and waste in the associations. Thus, this research aims to present the development of a framework for planning public procurement in line with project management methodologies focused on federal universities. For this, a qualitative and applied case study was built, using the documentary research approach to ascertain the norms and adapt the project management techniques. We used participant observation and workshops to validate the framework. Then, we used content analysis to evaluate the collected data. Thus, we observed that the results obtained with the systematized methodology became the performance of the team more dynamic and contributed to complete the projects within the deadline, according to the planned criteria and scope. From a theoretical point of view, the work enriches the literature on the use and impact of project management, especially in the construction of new tools based on this approach, by demonstrating its applicability in the Brazilian public sector.","author":[{"dropping-particle":"","family":"Cortez","given":"Edjane","non-dropping-particle":"","parse-names":false,"suffix":""},{"dropping-particle":"","family":"Oliveira","given":"Thiago","non-dropping-particle":"","parse-names":false,"suffix":""},{"dropping-particle":"","family":"Morais","given":"André","non-dropping-particle":"","parse-names":false,"suffix":""}],"container-title":"Revista de Gestão e Projetos","id":"ITEM-1","issue":"3","issued":{"date-parts":[["2020","12","17"]]},"page":"94-116","publisher":"University Nove de Julho","title":"Desenvolvimento de um framework para o planejamento de compras públicas: estudo em uma Universidade Federal","type":"article-journal","volume":"11"},"uris":["http://www.mendeley.com/documents/?uuid=4f5dd316-c105-3588-958e-3eaa39f7193a"]}],"mendeley":{"formattedCitation":"(Cortez et al., 2020)","manualFormatting":"Cortez et al. (2020)","plainTextFormattedCitation":"(Cortez et al., 2020)","previouslyFormattedCitation":"(Cortez et al., 2020)"},"properties":{"noteIndex":0},"schema":"https://github.com/citation-style-language/schema/raw/master/csl-citation.json"}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Cortez et al. (2020)</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6AA1746F"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Desarrollar</w:t>
            </w:r>
            <w:r w:rsidR="00AF54DE" w:rsidRPr="00155C54">
              <w:rPr>
                <w:rFonts w:ascii="Arial" w:hAnsi="Arial" w:cs="Arial"/>
                <w:sz w:val="18"/>
                <w:szCs w:val="18"/>
                <w:lang w:val="es-PE"/>
              </w:rPr>
              <w:t xml:space="preserve"> un</w:t>
            </w:r>
            <w:r w:rsidRPr="00155C54">
              <w:rPr>
                <w:rFonts w:ascii="Arial" w:hAnsi="Arial" w:cs="Arial"/>
                <w:sz w:val="18"/>
                <w:szCs w:val="18"/>
                <w:lang w:val="es-PE"/>
              </w:rPr>
              <w:t xml:space="preserve"> marco de planificación de compras públicas alineado a </w:t>
            </w:r>
            <w:r w:rsidR="00AF54DE" w:rsidRPr="00155C54">
              <w:rPr>
                <w:rFonts w:ascii="Arial" w:hAnsi="Arial" w:cs="Arial"/>
                <w:sz w:val="18"/>
                <w:szCs w:val="18"/>
                <w:lang w:val="es-PE"/>
              </w:rPr>
              <w:t xml:space="preserve">la </w:t>
            </w:r>
            <w:r w:rsidRPr="00155C54">
              <w:rPr>
                <w:rFonts w:ascii="Arial" w:hAnsi="Arial" w:cs="Arial"/>
                <w:sz w:val="18"/>
                <w:szCs w:val="18"/>
                <w:lang w:val="es-PE"/>
              </w:rPr>
              <w:t>gestión de proyectos universitarios.</w:t>
            </w:r>
          </w:p>
        </w:tc>
        <w:tc>
          <w:tcPr>
            <w:tcW w:w="1417" w:type="dxa"/>
            <w:vAlign w:val="center"/>
          </w:tcPr>
          <w:p w14:paraId="4EFCC0C2"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Cualitativo</w:t>
            </w:r>
            <w:r w:rsidRPr="00155C54">
              <w:rPr>
                <w:rFonts w:ascii="Arial" w:hAnsi="Arial" w:cs="Arial"/>
                <w:sz w:val="18"/>
                <w:szCs w:val="18"/>
                <w:lang w:val="es-PE"/>
              </w:rPr>
              <w:br/>
              <w:t>Estudio de caso</w:t>
            </w:r>
          </w:p>
        </w:tc>
        <w:tc>
          <w:tcPr>
            <w:tcW w:w="3969" w:type="dxa"/>
            <w:vAlign w:val="center"/>
          </w:tcPr>
          <w:p w14:paraId="517BA4AC"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Una estrategia organizativa </w:t>
            </w:r>
            <w:r w:rsidR="00AF54DE" w:rsidRPr="00155C54">
              <w:rPr>
                <w:rFonts w:ascii="Arial" w:hAnsi="Arial" w:cs="Arial"/>
                <w:sz w:val="18"/>
                <w:szCs w:val="18"/>
                <w:lang w:val="es-ES"/>
              </w:rPr>
              <w:t xml:space="preserve">que </w:t>
            </w:r>
            <w:r w:rsidRPr="00155C54">
              <w:rPr>
                <w:rFonts w:ascii="Arial" w:hAnsi="Arial" w:cs="Arial"/>
                <w:sz w:val="18"/>
                <w:szCs w:val="18"/>
                <w:lang w:val="es-ES"/>
              </w:rPr>
              <w:t xml:space="preserve">optimiza </w:t>
            </w:r>
            <w:r w:rsidR="00AF54DE" w:rsidRPr="00155C54">
              <w:rPr>
                <w:rFonts w:ascii="Arial" w:hAnsi="Arial" w:cs="Arial"/>
                <w:sz w:val="18"/>
                <w:szCs w:val="18"/>
                <w:lang w:val="es-ES"/>
              </w:rPr>
              <w:t xml:space="preserve">los recursos, reduce los </w:t>
            </w:r>
            <w:r w:rsidRPr="00155C54">
              <w:rPr>
                <w:rFonts w:ascii="Arial" w:hAnsi="Arial" w:cs="Arial"/>
                <w:sz w:val="18"/>
                <w:szCs w:val="18"/>
                <w:lang w:val="es-ES"/>
              </w:rPr>
              <w:t xml:space="preserve">trabajos y fortalece la comunicación, mejorando </w:t>
            </w:r>
            <w:r w:rsidR="00AF54DE" w:rsidRPr="00155C54">
              <w:rPr>
                <w:rFonts w:ascii="Arial" w:hAnsi="Arial" w:cs="Arial"/>
                <w:sz w:val="18"/>
                <w:szCs w:val="18"/>
                <w:lang w:val="es-ES"/>
              </w:rPr>
              <w:t xml:space="preserve">la </w:t>
            </w:r>
            <w:r w:rsidRPr="00155C54">
              <w:rPr>
                <w:rFonts w:ascii="Arial" w:hAnsi="Arial" w:cs="Arial"/>
                <w:sz w:val="18"/>
                <w:szCs w:val="18"/>
                <w:lang w:val="es-ES"/>
              </w:rPr>
              <w:t>eficiencia en contratación pública y gestión de proyectos.</w:t>
            </w:r>
          </w:p>
        </w:tc>
      </w:tr>
      <w:tr w:rsidR="00B62AE9" w:rsidRPr="00155C54" w14:paraId="6C8368F7"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5387749F"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{"citationItems":[{"id":"ITEM-1","itemData":{"DOI":"10.1590/0034-761220240028x","abstract":"This article investigates the performance of the Brazilian Federal Revenue Service’s (FRS) procurement function from the perspective of the dimensions of its organizational structure. Using data collected from the FRS, the methodological strategy consisted of summarization and regression techniques, identifying variables linked to the centralization, formalization, and specialization of the procurement structure, and the relationship of these elements with its performance. The results indicated significant and positive relationships between centralization and time-related performance measures. In contrast, occupational specialization at intermediate levels was negatively associated with competition, while accumulated experience in the procurement area was positively associated with bidding times. Formalization showed associations that indicate a trade-off between financial resources and time. Consequently, the research contributes to the field of public administration by investigating the structure and performance of procurement in a Brazilian institution with national operations, looking into gaps identified in national and international articles, such as those related to the country, scope, and diversity of the purchases analyzed, and interpreting the causal aspects of these associations.","author":[{"dropping-particle":"","family":"Costa","given":"Arthur Vinicius","non-dropping-particle":"Da","parse-names":false,"suffix":""},{"dropping-particle":"","family":"Abranches","given":"Doraliza Auxiliadora","non-dropping-particle":"","parse-names":false,"suffix":""},{"dropping-particle":"","family":"Costa","given":"Paulo Ricardo","non-dropping-particle":"Da","parse-names":false,"suffix":""}],"container-title":"Revista de Administracao Publica","id":"ITEM-1","issue":"4","issued":{"date-parts":[["2024"]]},"page":"e2024-0028","title":"The relationship between performance and the dimensions of the Brazilian Federal Revenue Service’s procurement structure","type":"article-journal","volume":"58"},"uris":["http://www.mendeley.com/documents/?uuid=fdb79f22-4d8d-464f-9acc-2aef9cdf35a9"]}],"mendeley":{"formattedCitation":"(Da Costa et al., 2024)","manualFormatting":"Da Costa et al. (2024)","plainTextFormattedCitation":"(Da Costa et al., 2024)","previouslyFormattedCitation":"(Da Costa et al., 2024)"},"properties":{"noteIndex":0},"schema":"https://github.com/citation-style-language/schema/raw/master/csl-citation.json"}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Da Costa et al. (2024)</w:t>
            </w:r>
            <w:r w:rsidRPr="00155C54">
              <w:rPr>
                <w:rFonts w:ascii="Arial" w:hAnsi="Arial" w:cs="Arial"/>
                <w:sz w:val="18"/>
                <w:szCs w:val="18"/>
              </w:rPr>
              <w:fldChar w:fldCharType="end"/>
            </w:r>
          </w:p>
          <w:p w14:paraId="0E91EC81"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Brasil</w:t>
            </w:r>
          </w:p>
        </w:tc>
        <w:tc>
          <w:tcPr>
            <w:tcW w:w="2551" w:type="dxa"/>
            <w:vAlign w:val="center"/>
          </w:tcPr>
          <w:p w14:paraId="0F2AC431"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Analizar</w:t>
            </w:r>
            <w:r w:rsidR="00AF54DE" w:rsidRPr="00155C54">
              <w:rPr>
                <w:rFonts w:ascii="Arial" w:hAnsi="Arial" w:cs="Arial"/>
                <w:sz w:val="18"/>
                <w:szCs w:val="18"/>
                <w:lang w:val="es-ES"/>
              </w:rPr>
              <w:t xml:space="preserve"> la</w:t>
            </w:r>
            <w:r w:rsidRPr="00155C54">
              <w:rPr>
                <w:rFonts w:ascii="Arial" w:hAnsi="Arial" w:cs="Arial"/>
                <w:sz w:val="18"/>
                <w:szCs w:val="18"/>
                <w:lang w:val="es-ES"/>
              </w:rPr>
              <w:t xml:space="preserve"> influencia de </w:t>
            </w:r>
            <w:r w:rsidR="00AF54DE" w:rsidRPr="00155C54">
              <w:rPr>
                <w:rFonts w:ascii="Arial" w:hAnsi="Arial" w:cs="Arial"/>
                <w:sz w:val="18"/>
                <w:szCs w:val="18"/>
                <w:lang w:val="es-ES"/>
              </w:rPr>
              <w:t xml:space="preserve">la </w:t>
            </w:r>
            <w:r w:rsidRPr="00155C54">
              <w:rPr>
                <w:rFonts w:ascii="Arial" w:hAnsi="Arial" w:cs="Arial"/>
                <w:sz w:val="18"/>
                <w:szCs w:val="18"/>
                <w:lang w:val="es-ES"/>
              </w:rPr>
              <w:t>centralización, formalización y especialización en contratación pública.</w:t>
            </w:r>
          </w:p>
        </w:tc>
        <w:tc>
          <w:tcPr>
            <w:tcW w:w="1417" w:type="dxa"/>
            <w:vAlign w:val="center"/>
          </w:tcPr>
          <w:p w14:paraId="76B54F88"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Cuantitativo</w:t>
            </w:r>
          </w:p>
        </w:tc>
        <w:tc>
          <w:tcPr>
            <w:tcW w:w="3969" w:type="dxa"/>
            <w:vAlign w:val="center"/>
          </w:tcPr>
          <w:p w14:paraId="24B91C67"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centralización agiliza contrataciones, la especialización reduce competencia y la formalización equilibra costos, impactando la contratación pública y </w:t>
            </w:r>
            <w:r w:rsidR="00D36404" w:rsidRPr="00155C54">
              <w:rPr>
                <w:rFonts w:ascii="Arial" w:hAnsi="Arial" w:cs="Arial"/>
                <w:sz w:val="18"/>
                <w:szCs w:val="18"/>
                <w:lang w:val="es-ES"/>
              </w:rPr>
              <w:t xml:space="preserve">la </w:t>
            </w:r>
            <w:r w:rsidRPr="00155C54">
              <w:rPr>
                <w:rFonts w:ascii="Arial" w:hAnsi="Arial" w:cs="Arial"/>
                <w:sz w:val="18"/>
                <w:szCs w:val="18"/>
                <w:lang w:val="es-ES"/>
              </w:rPr>
              <w:t>gestión de proyectos.</w:t>
            </w:r>
          </w:p>
        </w:tc>
      </w:tr>
      <w:tr w:rsidR="00B62AE9" w:rsidRPr="00155C54" w14:paraId="771DBEDA"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085ECBDD"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{"citationItems":[{"id":"ITEM-1","itemData":{"DOI":"10.3390/SU142315711","ISSN":"2071-1050","abstract":"This article seeks to develop criteria for evaluating sustainable suppliers in civil construction and to contribute to improving the understanding of the factors that influence the selection of sustainable suppliers. Organizations should develop strategies that motivate suppliers to participate in green supply-chain initiatives, as supplier selection can directly interfere with sustainability performance at work. However, there is a gap in the research that addresses the selection of sustainable suppliers in the Brazilian context of civil construction related to certifications for sustainable construction. To fill this gap, the present article used literature-review methodologies, content analysis, data triangulation, and field research through a survey. The literature review identifies the certifiable standards for sustainable construction most cited in the literature: LEED, AQUA, BREEAM, and CASBEE. The standards analysis allows us to identify seven similar supply criteria for sustainable construction certifications. The parameters of each certification were analyzed to define those related to the selection of suppliers, identifying those that qualify a supplier as environmentally sustainable. We found that 60.7% of respondents work in companies without certifications, 75% know sustainable procurement, 50% of companies had established a sustainable procurement policy, and 83% of companies had a strategy for selecting suppliers. The results of this research contribute to construction companies being able to rank the importance of these criteria when choosing a supplier, in addition to having access to the mapping of essential criteria, allowing a search for greater interaction between the links of the green supply chain and rendering buildings and supplies more sustainable.","author":[{"dropping-particle":"","family":"Castro","given":"Andreia","non-dropping-particle":"De","parse-names":false,"suffix":""},{"dropping-particle":"","family":"Seleme","given":"Robson","non-dropping-particle":"","parse-names":false,"suffix":""},{"dropping-particle":"","family":"Assis Silva","given":"Wiliam","non-dropping-particle":"De","parse-names":false,"suffix":""},{"dropping-particle":"","family":"Zattar","given":"Izabel Cristina","non-dropping-particle":"","parse-names":false,"suffix":""},{"dropping-particle":"","family":"Benitez","given":"Elpidio Oscar","non-dropping-particle":"","parse-names":false,"suffix":""},{"dropping-particle":"","family":"Canciglieri","given":"Osiris","non-dropping-particle":"","parse-names":false,"suffix":""},{"dropping-particle":"","family":"Brittes","given":"Lisianne","non-dropping-particle":"","parse-names":false,"suffix":""}],"container-title":"Sustainability","id":"ITEM-1","issue":"23","issued":{"date-parts":[["2022","11","25"]]},"page":"15711","publisher":"Multidisciplinary Digital Publishing Institute","title":"Evaluation and Choice Criteria of Sustainable Suppliers in the Construction Industry: A Comparative Study in Brazilian Companies","type":"article-journal","volume":"14"},"uris":["http://www.mendeley.com/documents/?uuid=66df511c-a77b-3ada-a416-5bfd46d1254f"]}],"mendeley":{"formattedCitation":"(De Castro et al., 2022)","manualFormatting":"De Castro et al. (2022)","plainTextFormattedCitation":"(De Castro et al., 2022)","previouslyFormattedCitation":"(De Castro et al., 2022)"},"properties":{"noteIndex":0},"schema":"https://github.com/citation-style-language/schema/raw/master/csl-citation.json"}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De Castro et al. (2022)</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37BF81C7"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Evaluar </w:t>
            </w:r>
            <w:r w:rsidR="00D36404" w:rsidRPr="00155C54">
              <w:rPr>
                <w:rFonts w:ascii="Arial" w:hAnsi="Arial" w:cs="Arial"/>
                <w:sz w:val="18"/>
                <w:szCs w:val="18"/>
                <w:lang w:val="es-ES"/>
              </w:rPr>
              <w:t xml:space="preserve">la </w:t>
            </w:r>
            <w:r w:rsidRPr="00155C54">
              <w:rPr>
                <w:rFonts w:ascii="Arial" w:hAnsi="Arial" w:cs="Arial"/>
                <w:sz w:val="18"/>
                <w:szCs w:val="18"/>
                <w:lang w:val="es-ES"/>
              </w:rPr>
              <w:t>selección de proveedores sostenibles en construcción y certificaciones internacionales.</w:t>
            </w:r>
          </w:p>
        </w:tc>
        <w:tc>
          <w:tcPr>
            <w:tcW w:w="1417" w:type="dxa"/>
            <w:vAlign w:val="center"/>
          </w:tcPr>
          <w:p w14:paraId="48E27460"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Comparativo</w:t>
            </w:r>
          </w:p>
        </w:tc>
        <w:tc>
          <w:tcPr>
            <w:tcW w:w="3969" w:type="dxa"/>
            <w:vAlign w:val="center"/>
          </w:tcPr>
          <w:p w14:paraId="329772D9" w14:textId="77777777" w:rsidR="00B62AE9" w:rsidRPr="00155C54" w:rsidRDefault="00B62AE9" w:rsidP="00D3640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contratación de servicios financieros es crucial para proyectos sostenibles, </w:t>
            </w:r>
            <w:r w:rsidR="00D36404" w:rsidRPr="00155C54">
              <w:rPr>
                <w:rFonts w:ascii="Arial" w:hAnsi="Arial" w:cs="Arial"/>
                <w:sz w:val="18"/>
                <w:szCs w:val="18"/>
                <w:lang w:val="es-ES"/>
              </w:rPr>
              <w:t>al exigir</w:t>
            </w:r>
            <w:r w:rsidRPr="00155C54">
              <w:rPr>
                <w:rFonts w:ascii="Arial" w:hAnsi="Arial" w:cs="Arial"/>
                <w:sz w:val="18"/>
                <w:szCs w:val="18"/>
                <w:lang w:val="es-ES"/>
              </w:rPr>
              <w:t xml:space="preserve"> políticas públicas que super</w:t>
            </w:r>
            <w:r w:rsidR="00D36404" w:rsidRPr="00155C54">
              <w:rPr>
                <w:rFonts w:ascii="Arial" w:hAnsi="Arial" w:cs="Arial"/>
                <w:sz w:val="18"/>
                <w:szCs w:val="18"/>
                <w:lang w:val="es-ES"/>
              </w:rPr>
              <w:t>a</w:t>
            </w:r>
            <w:r w:rsidRPr="00155C54">
              <w:rPr>
                <w:rFonts w:ascii="Arial" w:hAnsi="Arial" w:cs="Arial"/>
                <w:sz w:val="18"/>
                <w:szCs w:val="18"/>
                <w:lang w:val="es-ES"/>
              </w:rPr>
              <w:t>n limitaciones y consider</w:t>
            </w:r>
            <w:r w:rsidR="00D36404" w:rsidRPr="00155C54">
              <w:rPr>
                <w:rFonts w:ascii="Arial" w:hAnsi="Arial" w:cs="Arial"/>
                <w:sz w:val="18"/>
                <w:szCs w:val="18"/>
                <w:lang w:val="es-ES"/>
              </w:rPr>
              <w:t>a</w:t>
            </w:r>
            <w:r w:rsidRPr="00155C54">
              <w:rPr>
                <w:rFonts w:ascii="Arial" w:hAnsi="Arial" w:cs="Arial"/>
                <w:sz w:val="18"/>
                <w:szCs w:val="18"/>
                <w:lang w:val="es-ES"/>
              </w:rPr>
              <w:t>n impactos sociales y económicos.</w:t>
            </w:r>
          </w:p>
        </w:tc>
      </w:tr>
      <w:tr w:rsidR="00B62AE9" w:rsidRPr="00155C54" w14:paraId="0B32DF71"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4B2FB119" w14:textId="77777777" w:rsidR="00B62AE9" w:rsidRPr="00155C54" w:rsidRDefault="00B62AE9" w:rsidP="00B62AE9">
            <w:pPr>
              <w:spacing w:after="0" w:line="240" w:lineRule="auto"/>
              <w:jc w:val="center"/>
              <w:rPr>
                <w:rFonts w:ascii="Arial" w:hAnsi="Arial" w:cs="Arial"/>
                <w:b w:val="0"/>
                <w:sz w:val="18"/>
                <w:szCs w:val="18"/>
                <w:lang w:val="pt-BR"/>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{"citationItems":[{"id":"ITEM-1","itemData":{"DOI":"10.3390/SYSTEMS10060252","ISSN":"2079-8954","abstract":"Background: Inefficient use of public funds can have a negative impact on the lives of citizens. The development of machine learning-based technologies for data visualisation and prediction has opened the possibility of evaluating the accountability of publicly funded projects. Methods: This study describes the conception and evaluation of the architecture of a system that can be utilised for project profile definition and prediction. The system was used to analyse data from 20,942 System of Management of Agreements and Transfer Contracts (SICONV) projects in Brazil, which are government-funded projects. SICONV is a Brazilian Government initiative that records the entire life cycle of agreements, transfer contracts, and partnership terms, from proposal formalisation to final accountability. The projects were represented by seven variables, all of which were related to the timeline and budget of the project. Data statistics and clustering in a lower-dimensional space calculated using t-SNE were used to generate project profiles. Performance measures were used to test and compare several project-profile prediction models based on classifiers. Results: Data clustering was achieved, and ten project profiles were defined as a result. Among 25 prediction models, k-Nearest-Neighbor (kknn) was the one that yielded the highest accuracy (0.991±0.002). Conclusions: The system predicted SICONV project profiles accurately. This system can help auditors and citizens evaluate new and ongoing project profiles, identifying inappropriate public funding.","author":[{"dropping-particle":"","family":"Oliveira","given":"Adriano","non-dropping-particle":"De","parse-names":false,"suffix":""},{"dropping-particle":"","family":"Garcia","given":"Leonardo","non-dropping-particle":"","parse-names":false,"suffix":""},{"dropping-particle":"","family":"Resende","given":"Osvaldo","non-dropping-particle":"","parse-names":false,"suffix":""},{"dropping-particle":"","family":"Andrade","given":"Geraldo","non-dropping-particle":"","parse-names":false,"suffix":""},{"dropping-particle":"","family":"Rodrigues","given":"Leandro","non-dropping-particle":"","parse-names":false,"suffix":""},{"dropping-particle":"","family":"Alves","given":"Adriano","non-dropping-particle":"","parse-names":false,"suffix":""}],"container-title":"Systems","id":"ITEM-1","issue":"6","issued":{"date-parts":[["2022","12","10"]]},"page":"252","publisher":"Multidisciplinary Digital Publishing Institute","title":"Prediction and Visualisation of SICONV Project Profiles Using Machine Learning","type":"article-journal","volume":"10"},"uris":["http://www.mendeley.com/documents/?uuid=2892c1bd-8f2e-3fb4-9d2a-96e737712685"]}],"mendeley":{"formattedCitation":"(De Oliveira et al., 2022)","manualFormatting":"De Oliveira et al. (2022)","plainTextFormattedCitation":"(De Oliveira et al., 2022)","previouslyFormattedCitation":"(De Oliveira et al., 2022)"},"properties":{"noteIndex":0},"schema":"https://github.com/citation-style-language/schema/raw/master/csl-citation.json"}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De Oliveira et al. (2022)</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7FA9E851"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Diseñar y evaluar un sistema de aprendizaje automático para predecir proyectos.</w:t>
            </w:r>
          </w:p>
        </w:tc>
        <w:tc>
          <w:tcPr>
            <w:tcW w:w="1417" w:type="dxa"/>
            <w:vAlign w:val="center"/>
          </w:tcPr>
          <w:p w14:paraId="34425C45"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Cuantitativo</w:t>
            </w:r>
            <w:r w:rsidRPr="00155C54">
              <w:rPr>
                <w:rFonts w:ascii="Arial" w:hAnsi="Arial" w:cs="Arial"/>
                <w:sz w:val="18"/>
                <w:szCs w:val="18"/>
                <w:lang w:val="es-PE"/>
              </w:rPr>
              <w:br/>
              <w:t>No experimental</w:t>
            </w:r>
          </w:p>
        </w:tc>
        <w:tc>
          <w:tcPr>
            <w:tcW w:w="3969" w:type="dxa"/>
            <w:vAlign w:val="center"/>
          </w:tcPr>
          <w:p w14:paraId="70DA8BD2"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El seguimiento de proyectos públicos redujo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corrupción y mejoró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eficiencia y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transparencia al detectar excesos de presupuesto y retrasos en </w:t>
            </w:r>
            <w:r w:rsidR="00D36404" w:rsidRPr="00155C54">
              <w:rPr>
                <w:rFonts w:ascii="Arial" w:hAnsi="Arial" w:cs="Arial"/>
                <w:sz w:val="18"/>
                <w:szCs w:val="18"/>
                <w:lang w:val="es-ES"/>
              </w:rPr>
              <w:t>las contrataciones</w:t>
            </w:r>
            <w:r w:rsidRPr="00155C54">
              <w:rPr>
                <w:rFonts w:ascii="Arial" w:hAnsi="Arial" w:cs="Arial"/>
                <w:sz w:val="18"/>
                <w:szCs w:val="18"/>
                <w:lang w:val="es-ES"/>
              </w:rPr>
              <w:t>.</w:t>
            </w:r>
          </w:p>
        </w:tc>
      </w:tr>
      <w:tr w:rsidR="00B62AE9" w:rsidRPr="00155C54" w14:paraId="23F7666D"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hideMark/>
          </w:tcPr>
          <w:p w14:paraId="39B2B81C"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{"citationItems":[{"id":"ITEM-1","itemData":{"DOI":"10.14488/BJOPM.1984.2024","ISSN":"2237-8960","abstract":"Objective: This paper presents a conceptual model comprising performance indicators designed for evaluating suppliers in companies within the electricity sector.\nDesign / Methodology / Approach: The conceptual model was developed based on articles identified from Scopus and Web of Science, which provided indicators and their associated requirements, validated by both academics and practitioners. A multiple case study method was applied, and interviews were conducted with nine participants from six leading companies, which had the highest revenues in the electricity sector in Brazil. The interviews were semistructured and administered remotely. For data analysis, the authors assessed the alignment of the the indicators with the essential requirements for suppliers' evaluation. This evaluation was carried out using the Lawshe’s (1975) scale, the Content Validity Ratio (CVR), and the critical CVR (Wilson et al., 2012).\nResults: The conceptual model consists of tree groups of indicators: quality, logistics, and financial. In public companies, the evaluation facilitated external integration, whereas in private companies, this evaluation enabled internal integration. The findings show that some indicators were not applicable to the practice, while all requirements were applicable within the context of both academics and practitioners’ reality.\nLimitations of the investigation: A notable limitation of this study is the relatively small number of interviewees, particularly within the academic sample.\nPractical implications: The proposal of these indicators aims to guide companies to a more precise supplier evaluation by procurement and operation departments, which manage a valuable input (spare parts).\nOriginality / Value: The proposal of indicators that meet the requirements, using the Lawshe’s scale and the calculation of the CVR, and further validated by two different actors (academics and practitioners) was not found in the publications concerning suppliers’ evaluation in the electricity sector.","author":[{"dropping-particle":"","family":"Duarte","given":"Thamires Eis","non-dropping-particle":"","parse-names":false,"suffix":""},{"dropping-particle":"","family":"Ribeiro","given":"Priscilla Cristina Cabral","non-dropping-particle":"","parse-names":false,"suffix":""},{"dropping-particle":"","family":"Costa","given":"Helder Gomes","non-dropping-particle":"","parse-names":false,"suffix":""}],"container-title":"Brazilian Journal of Operations &amp; Production Management","id":"ITEM-1","issue":"3","issued":{"date-parts":[["2024","6","17"]]},"page":"1984-1984","publisher":"Associacao Brasileira de Engenharia de Producao","title":"Indicators and performance requirements for suppliers’ evaluation in the Brazilian electricity sector","type":"article-journal","volume":"21"},"uris":["http://www.mendeley.com/documents/?uuid=43704e66-fe4a-3988-a80b-d7f5223da76e"]}],"mendeley":{"formattedCitation":"(Duarte et al., 2024)","manualFormatting":"Duarte et al. (2024)","plainTextFormattedCitation":"(Duarte et al., 2024)","previouslyFormattedCitation":"(Duarte et al., 2024)"},"properties":{"noteIndex":0},"schema":"https://github.com/citation-style-language/schema/raw/master/csl-citation.json"}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Duarte et al. (2024)</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hideMark/>
          </w:tcPr>
          <w:p w14:paraId="184DDDA5"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Desarrollar modelo con indicadores de desempeño para evaluar proveedores en </w:t>
            </w:r>
            <w:r w:rsidR="00D36404" w:rsidRPr="00155C54">
              <w:rPr>
                <w:rFonts w:ascii="Arial" w:hAnsi="Arial" w:cs="Arial"/>
                <w:sz w:val="18"/>
                <w:szCs w:val="18"/>
                <w:lang w:val="es-PE"/>
              </w:rPr>
              <w:t xml:space="preserve">el </w:t>
            </w:r>
            <w:r w:rsidRPr="00155C54">
              <w:rPr>
                <w:rFonts w:ascii="Arial" w:hAnsi="Arial" w:cs="Arial"/>
                <w:sz w:val="18"/>
                <w:szCs w:val="18"/>
                <w:lang w:val="es-PE"/>
              </w:rPr>
              <w:t>sector eléctrico.</w:t>
            </w:r>
          </w:p>
        </w:tc>
        <w:tc>
          <w:tcPr>
            <w:tcW w:w="1417" w:type="dxa"/>
            <w:vAlign w:val="center"/>
            <w:hideMark/>
          </w:tcPr>
          <w:p w14:paraId="7E3CC3C0"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Estudio de caso</w:t>
            </w:r>
          </w:p>
        </w:tc>
        <w:tc>
          <w:tcPr>
            <w:tcW w:w="3969" w:type="dxa"/>
            <w:vAlign w:val="center"/>
            <w:hideMark/>
          </w:tcPr>
          <w:p w14:paraId="7C2EA185"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evaluación de proveedores en compras públicas mejora proyectos eléctricos, asegurando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calidad,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confiabilidad y </w:t>
            </w:r>
            <w:r w:rsidR="00D36404" w:rsidRPr="00155C54">
              <w:rPr>
                <w:rFonts w:ascii="Arial" w:hAnsi="Arial" w:cs="Arial"/>
                <w:sz w:val="18"/>
                <w:szCs w:val="18"/>
                <w:lang w:val="es-ES"/>
              </w:rPr>
              <w:t xml:space="preserve">la </w:t>
            </w:r>
            <w:r w:rsidRPr="00155C54">
              <w:rPr>
                <w:rFonts w:ascii="Arial" w:hAnsi="Arial" w:cs="Arial"/>
                <w:sz w:val="18"/>
                <w:szCs w:val="18"/>
                <w:lang w:val="es-ES"/>
              </w:rPr>
              <w:t>sostenibilidad para infraestructuras críticas.</w:t>
            </w:r>
          </w:p>
        </w:tc>
      </w:tr>
      <w:tr w:rsidR="00B62AE9" w:rsidRPr="00155C54" w14:paraId="2554D0B7"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52127DB"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{"citationItems":[{"id":"ITEM-1","itemData":{"DOI":"10.1016/j.ijforecast.2020.06.006","abstract":"Is it possible to predict malfeasance in public procurement? With the proliferation of e-procurement systems in the public sector, anti-corruption agencies and watchdog organizations have access to valuable sources of information with which to identify transactions that are likely to become troublesome and why. In this article, we discuss the promises and challenges of using machine learning models to predict inefficiency and corruption in public procurement. We illustrate this approach with a dataset with more than two million public procurement contracts in Colombia. We trained machine learning models to predict which of them will result in corruption investigations, a breach of contract, or implementation inefficiencies. We then discuss how our models can help practitioners better understand the drivers of corruption and inefficiency in public procurement. Our approach will be useful to governments interested in exploiting large administrative datasets to improve the provision of public goods, and it highlights some of the tradeoffs and challenges that they might face throughout this process.","author":[{"dropping-particle":"","family":"Gallego","given":"Jorge","non-dropping-particle":"","parse-names":false,"suffix":""},{"dropping-particle":"","family":"Rivero","given":"Gonzalo","non-dropping-particle":"","parse-names":false,"suffix":""},{"dropping-particle":"","family":"Martínez","given":"Juan","non-dropping-particle":"","parse-names":false,"suffix":""}],"container-title":"International Journal of Forecasting","id":"ITEM-1","issue":"1","issued":{"date-parts":[["2021"]]},"page":"360-377","title":"Preventing rather than punishing: An early warning model of malfeasance in public procurement","type":"article-journal","volume":"37"},"uris":["http://www.mendeley.com/documents/?uuid=f39a0016-1790-464a-92d1-415374776378"]}],"mendeley":{"formattedCitation":"(Gallego et al., 2021)","manualFormatting":"Gallego et al. (2021)","plainTextFormattedCitation":"(Gallego et al., 2021)","previouslyFormattedCitation":"(Gallego et al., 2021)"},"properties":{"noteIndex":0},"schema":"https://github.com/citation-style-language/schema/raw/master/csl-citation.json"}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Gallego et al. (2021)</w:t>
            </w:r>
            <w:r w:rsidRPr="00155C54">
              <w:rPr>
                <w:rFonts w:ascii="Arial" w:hAnsi="Arial" w:cs="Arial"/>
                <w:sz w:val="18"/>
                <w:szCs w:val="18"/>
              </w:rPr>
              <w:fldChar w:fldCharType="end"/>
            </w:r>
          </w:p>
          <w:p w14:paraId="4402E89B"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Colombia</w:t>
            </w:r>
          </w:p>
        </w:tc>
        <w:tc>
          <w:tcPr>
            <w:tcW w:w="2551" w:type="dxa"/>
            <w:vAlign w:val="center"/>
          </w:tcPr>
          <w:p w14:paraId="3EA2594D"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Desarrollar modelos de </w:t>
            </w:r>
            <w:r w:rsidRPr="00155C54">
              <w:rPr>
                <w:rFonts w:ascii="Arial" w:hAnsi="Arial" w:cs="Arial"/>
                <w:i/>
                <w:sz w:val="18"/>
                <w:szCs w:val="18"/>
                <w:lang w:val="es-PE"/>
              </w:rPr>
              <w:t xml:space="preserve">machine </w:t>
            </w:r>
            <w:proofErr w:type="spellStart"/>
            <w:r w:rsidRPr="00155C54">
              <w:rPr>
                <w:rFonts w:ascii="Arial" w:hAnsi="Arial" w:cs="Arial"/>
                <w:i/>
                <w:sz w:val="18"/>
                <w:szCs w:val="18"/>
                <w:lang w:val="es-PE"/>
              </w:rPr>
              <w:t>learning</w:t>
            </w:r>
            <w:proofErr w:type="spellEnd"/>
            <w:r w:rsidR="00D36404" w:rsidRPr="00155C54">
              <w:rPr>
                <w:rFonts w:ascii="Arial" w:hAnsi="Arial" w:cs="Arial"/>
                <w:sz w:val="18"/>
                <w:szCs w:val="18"/>
                <w:lang w:val="es-PE"/>
              </w:rPr>
              <w:t xml:space="preserve"> para predecir </w:t>
            </w:r>
            <w:r w:rsidRPr="00155C54">
              <w:rPr>
                <w:rFonts w:ascii="Arial" w:hAnsi="Arial" w:cs="Arial"/>
                <w:sz w:val="18"/>
                <w:szCs w:val="18"/>
                <w:lang w:val="es-PE"/>
              </w:rPr>
              <w:t>corrupción e ineficiencia en la contratación pública.</w:t>
            </w:r>
          </w:p>
        </w:tc>
        <w:tc>
          <w:tcPr>
            <w:tcW w:w="1417" w:type="dxa"/>
            <w:vAlign w:val="center"/>
          </w:tcPr>
          <w:p w14:paraId="7548B463"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Cuantitativo</w:t>
            </w:r>
          </w:p>
        </w:tc>
        <w:tc>
          <w:tcPr>
            <w:tcW w:w="3969" w:type="dxa"/>
            <w:vAlign w:val="center"/>
          </w:tcPr>
          <w:p w14:paraId="013D3CDE"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Los modelos asignan riesgos para auditorías, mejorando la gestión, pero enfrentan desafíos como sesgo de datos y adaptación a estrategias corruptas.</w:t>
            </w:r>
          </w:p>
        </w:tc>
      </w:tr>
      <w:tr w:rsidR="00B62AE9" w:rsidRPr="00155C54" w14:paraId="715528EF"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41D7BB92"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{"citationItems":[{"id":"ITEM-1","itemData":{"DOI":"10.5585/gep.v15i1.24043","ISSN":"2236-0972","abstract":"This study aimed to assess the level of importance and proficiency in individual competencies required for project management in a Brazilian public health institution. The research employed an exploratory approach, incorporating both qualitative and quantitative methods. Competencies identified from the theoretical framework were analyzed using content analysis and described in the form of observable behaviors, resulting in a total of 48 competencies. Subsequently, a questionnaire was administered to 18 strategic project managers within the institution, and based on their self-assessment, the priorities for competency development were established using the Training Needs Index [TNI]. The participants regarded all presented competencies as highly important for their professional performance. Furthermore, the results indicated that the managers possessed a high level of professional qualification for project management. However, the focus of development efforts should be directed towards specific competencies gaps identified in some managers, particularly related to cost management, scope, procurement and contracting, and communication. The research contributes to the enhancement of project management competencies among the institution's project managers and advances the discussion on competencies required for public health project management.","author":[{"dropping-particle":"","family":"Gonçalves","given":"Daniel","non-dropping-particle":"","parse-names":false,"suffix":""},{"dropping-particle":"","family":"Borges","given":"Daniel Clarismundo","non-dropping-particle":"","parse-names":false,"suffix":""}],"container-title":"Revista de Gestão e Projetos","id":"ITEM-1","issue":"1","issued":{"date-parts":[["2024","2","27"]]},"page":"90-115","publisher":"University Nove de Julho","title":"Competências individuais para a Gestão de Projetos: Estudo em uma Instituição de Saúde Pública","type":"article-journal","volume":"15"},"uris":["http://www.mendeley.com/documents/?uuid=ba529e4e-0b21-3de0-abc5-a4edeb59c612"]}],"mendeley":{"formattedCitation":"(Gonçalves &amp; Borges, 2024)","manualFormatting":"Gonçalves &amp; Borges\r(2024)","plainTextFormattedCitation":"(Gonçalves &amp; Borges, 2024)","previouslyFormattedCitation":"(Gonçalves &amp; Borges, 2024)"},"properties":{"noteIndex":0},"schema":"https://github.com/citation-style-language/schema/raw/master/csl-citation.json"}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Gonçalves &amp; Borges</w:t>
            </w:r>
          </w:p>
          <w:p w14:paraId="0C43B323"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(2024)</w:t>
            </w:r>
            <w:r w:rsidRPr="00155C54">
              <w:rPr>
                <w:rFonts w:ascii="Arial" w:hAnsi="Arial" w:cs="Arial"/>
                <w:sz w:val="18"/>
                <w:szCs w:val="18"/>
              </w:rPr>
              <w:fldChar w:fldCharType="end"/>
            </w:r>
          </w:p>
          <w:p w14:paraId="1C3BEE7A"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Brasil</w:t>
            </w:r>
          </w:p>
        </w:tc>
        <w:tc>
          <w:tcPr>
            <w:tcW w:w="2551" w:type="dxa"/>
            <w:vAlign w:val="center"/>
          </w:tcPr>
          <w:p w14:paraId="423890F7"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Identificar el dominio de competencias individuales en </w:t>
            </w:r>
            <w:r w:rsidR="00D36404" w:rsidRPr="00155C54">
              <w:rPr>
                <w:rFonts w:ascii="Arial" w:hAnsi="Arial" w:cs="Arial"/>
                <w:sz w:val="18"/>
                <w:szCs w:val="18"/>
                <w:lang w:val="es-PE"/>
              </w:rPr>
              <w:t xml:space="preserve">la </w:t>
            </w:r>
            <w:r w:rsidRPr="00155C54">
              <w:rPr>
                <w:rFonts w:ascii="Arial" w:hAnsi="Arial" w:cs="Arial"/>
                <w:sz w:val="18"/>
                <w:szCs w:val="18"/>
                <w:lang w:val="es-PE"/>
              </w:rPr>
              <w:t>gestión de proyectos en salud pública.</w:t>
            </w:r>
          </w:p>
        </w:tc>
        <w:tc>
          <w:tcPr>
            <w:tcW w:w="1417" w:type="dxa"/>
            <w:vAlign w:val="center"/>
          </w:tcPr>
          <w:p w14:paraId="0F1E3AFC"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Exploratorio y descriptivo</w:t>
            </w:r>
          </w:p>
        </w:tc>
        <w:tc>
          <w:tcPr>
            <w:tcW w:w="3969" w:type="dxa"/>
            <w:vAlign w:val="center"/>
          </w:tcPr>
          <w:p w14:paraId="15C99491"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La limitada gestión de gastos, adquisiciones y plazos genera sobrecostos e incumplimientos, afectando la planificación y eficiencia en contratación pública.</w:t>
            </w:r>
          </w:p>
        </w:tc>
      </w:tr>
      <w:tr w:rsidR="00B62AE9" w:rsidRPr="00155C54" w14:paraId="01665858"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B1043BF"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lastRenderedPageBreak/>
              <w:fldChar w:fldCharType="begin" w:fldLock="1"/>
            </w:r>
            <w:r w:rsidRPr="00155C54">
              <w:rPr>
                <w:rFonts w:ascii="Arial" w:hAnsi="Arial" w:cs="Arial"/>
                <w:b w:val="0"/>
                <w:sz w:val="18"/>
                <w:szCs w:val="18"/>
                <w:lang w:val="es-PE"/>
              </w:rPr>
              <w:instrText>ADDIN CSL_CITATION {"citationItems":[{"id":"ITEM-1","itemData":{"DOI":"10.1016/j.exis.2020.03.018","abstract":"This paper aims at linking the literature on the natural resource curse with the studies on public investment management. It seeks to bridge these bodies of literature through a case study that focuses on the subnational scale and takes into account political economy. The case is an oil-rich Colombian municipality, Arauca. The level of competition in public bidding processes undertaken by the mayoralty of Arauca was muted between 2005 – 2015. Arauca exhibited an extremely high level of single-bidder-ratio (96%) and a very low average number of bids submitted per open tendering process (1.05). The paper explores the factors and processes that contributed to explain this outcome. Qualitative and quantitative data was triangulated to address three aspects of the implementation of investment projects in Arauca: (i) transparency in public management; (ii) integrity in public procurement; and, (iii) the adverse effects of the oil-fuelled armed conflict on local democracy and the municipal procurement processes. The paper reports significant shortcomings in the implementation stage of investment projects in Arauca linked with these three components. After three decades of receiving a windfall of oil revenues, Arauca's subnational government was not able to develop strong institutional arrangements to invest the revenues from resource extraction.","author":[{"dropping-particle":"","family":"Gutiérrez","given":"Juan David","non-dropping-particle":"","parse-names":false,"suffix":""}],"container-title":"The Extractive Industries and Society","id":"ITEM-1","issue":"2","issued":{"date-parts":[["2020"]]},"page":"686-703","title":"Oil revenues, public procurement and armed conflict: A case study of a subnational government in Colombia","type":"article-journal","volume":"7"},"uris":["http://www.mendeley.com/documents/?uuid=d83c0438-0b73-4ae2-8605-38349e94220f"]}],"mendeley":{"formattedCitation":"(Gutiérrez, 2020)","manualFormatting":"Gutiérrez\r(2020)","plainTextFormattedCitation":"(Gutiérrez, 2020)","previouslyFormattedCitation":"(Gutiérrez, 2020)"},"properties":{"noteIndex":0},"schema":"https://github.com/citation-style-language/schema/raw/master/csl-citation.json"}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Gutiérrez</w:t>
            </w:r>
          </w:p>
          <w:p w14:paraId="6A03D804"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(2020)</w:t>
            </w:r>
            <w:r w:rsidRPr="00155C54">
              <w:rPr>
                <w:rFonts w:ascii="Arial" w:hAnsi="Arial" w:cs="Arial"/>
                <w:sz w:val="18"/>
                <w:szCs w:val="18"/>
              </w:rPr>
              <w:fldChar w:fldCharType="end"/>
            </w:r>
          </w:p>
          <w:p w14:paraId="3083055E"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Colombia</w:t>
            </w:r>
          </w:p>
        </w:tc>
        <w:tc>
          <w:tcPr>
            <w:tcW w:w="2551" w:type="dxa"/>
            <w:vAlign w:val="center"/>
          </w:tcPr>
          <w:p w14:paraId="2D71C0EA"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Explorar factores que afectan la gestión pública, considerando ingresos petroleros, contratación y conflicto armado.</w:t>
            </w:r>
          </w:p>
        </w:tc>
        <w:tc>
          <w:tcPr>
            <w:tcW w:w="1417" w:type="dxa"/>
            <w:vAlign w:val="center"/>
          </w:tcPr>
          <w:p w14:paraId="00029BB7"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p>
        </w:tc>
        <w:tc>
          <w:tcPr>
            <w:tcW w:w="3969" w:type="dxa"/>
            <w:vAlign w:val="center"/>
          </w:tcPr>
          <w:p w14:paraId="7F1C72A0"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contratación pública es deficiente, con 96% de contratos sin competencia. La manipulación política y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violencia afectan los proyectos, sin mejorar </w:t>
            </w:r>
            <w:r w:rsidR="00D36404" w:rsidRPr="00155C54">
              <w:rPr>
                <w:rFonts w:ascii="Arial" w:hAnsi="Arial" w:cs="Arial"/>
                <w:sz w:val="18"/>
                <w:szCs w:val="18"/>
                <w:lang w:val="es-ES"/>
              </w:rPr>
              <w:t xml:space="preserve">la </w:t>
            </w:r>
            <w:r w:rsidRPr="00155C54">
              <w:rPr>
                <w:rFonts w:ascii="Arial" w:hAnsi="Arial" w:cs="Arial"/>
                <w:sz w:val="18"/>
                <w:szCs w:val="18"/>
                <w:lang w:val="es-ES"/>
              </w:rPr>
              <w:t>transparencia.</w:t>
            </w:r>
          </w:p>
        </w:tc>
      </w:tr>
      <w:tr w:rsidR="00B62AE9" w:rsidRPr="00155C54" w14:paraId="5253A246"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4E57DEBE"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{"citationItems":[{"id":"ITEM-1","itemData":{"DOI":"10.52080/rvgluz.28.101.13","ISSN":"1315-9984","abstract":"Construction provides the infrastructure necessary for the progress of modern societies and responds favorably to global economic dynamics. This performance is conducted through business performance, when formulating and executing this type of projects in Colombia. However, Its productivity is low, despite its support as a leading stimulator of production in times of crisis. Therefore, this research analyzed the macroeconomic environment of the construction and building subsector, through the selection and characterization of companies in Boyacá, Colombia, together with the identification of their capacities, estimated by the financial and organizational statements required in public bids. This analysis exposes the dependent and volatile market, mainly supported by housing construction activity. In Colombia, there is a reduction in productivity and in Boyacá, 95.83% of sole proprietorships do not have conditions to participate in public procurement. Consequently, despite institutional efforts to encourage production by investment in the building subsector, the nature of the market and the organizational limitations hinder the development of the sector and the Colombian economy in times of crisis.","author":[{"dropping-particle":"","family":"Hernández","given":"Carlos Gabriel","non-dropping-particle":"","parse-names":false,"suffix":""},{"dropping-particle":"","family":"Gutiérrez","given":"Óscar Javier","non-dropping-particle":"","parse-names":false,"suffix":""},{"dropping-particle":"","family":"Sarmiento","given":"Jorge Andrés","non-dropping-particle":"","parse-names":false,"suffix":""}],"container-title":"Revista Venezolana de Gerencia","id":"ITEM-1","issue":"101","issued":{"date-parts":[["2023"]]},"page":"186-209","publisher":"Universidad del Zulia","title":"Analysis of building behavior in construction industry and its relationship with its business performance for state contracting in Boyacá, Colombia","type":"article-journal","volume":"28"},"uris":["http://www.mendeley.com/documents/?uuid=c0829d14-f3ba-3e5d-adee-99016f7051dc"]}],"mendeley":{"formattedCitation":"(Hernández et al., 2023)","manualFormatting":"Hernández et al. (2023)","plainTextFormattedCitation":"(Hernández et al., 2023)","previouslyFormattedCitation":"(Hernández et al., 2023)"},"properties":{"noteIndex":0},"schema":"https://github.com/citation-style-language/schema/raw/master/csl-citation.json"}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Hernández et al. (2023)</w:t>
            </w:r>
            <w:r w:rsidRPr="00155C54">
              <w:rPr>
                <w:rFonts w:ascii="Arial" w:hAnsi="Arial" w:cs="Arial"/>
                <w:sz w:val="18"/>
                <w:szCs w:val="18"/>
              </w:rPr>
              <w:fldChar w:fldCharType="end"/>
            </w:r>
            <w:r w:rsidRPr="00155C54">
              <w:rPr>
                <w:rFonts w:ascii="Arial" w:hAnsi="Arial" w:cs="Arial"/>
                <w:b w:val="0"/>
                <w:sz w:val="18"/>
                <w:szCs w:val="18"/>
                <w:lang w:val="es-PE"/>
              </w:rPr>
              <w:br/>
              <w:t>Colombia</w:t>
            </w:r>
          </w:p>
        </w:tc>
        <w:tc>
          <w:tcPr>
            <w:tcW w:w="2551" w:type="dxa"/>
            <w:vAlign w:val="center"/>
          </w:tcPr>
          <w:p w14:paraId="1C08F066"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Analizar la capacidad empresarial en construcción para participar en </w:t>
            </w:r>
            <w:r w:rsidR="00D36404" w:rsidRPr="00155C54">
              <w:rPr>
                <w:rFonts w:ascii="Arial" w:hAnsi="Arial" w:cs="Arial"/>
                <w:sz w:val="18"/>
                <w:szCs w:val="18"/>
                <w:lang w:val="es-PE"/>
              </w:rPr>
              <w:t xml:space="preserve">la </w:t>
            </w:r>
            <w:r w:rsidRPr="00155C54">
              <w:rPr>
                <w:rFonts w:ascii="Arial" w:hAnsi="Arial" w:cs="Arial"/>
                <w:sz w:val="18"/>
                <w:szCs w:val="18"/>
                <w:lang w:val="es-PE"/>
              </w:rPr>
              <w:t>contratación pública.</w:t>
            </w:r>
          </w:p>
        </w:tc>
        <w:tc>
          <w:tcPr>
            <w:tcW w:w="1417" w:type="dxa"/>
            <w:vAlign w:val="center"/>
          </w:tcPr>
          <w:p w14:paraId="1DFB420A"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No experimental</w:t>
            </w:r>
          </w:p>
        </w:tc>
        <w:tc>
          <w:tcPr>
            <w:tcW w:w="3969" w:type="dxa"/>
            <w:vAlign w:val="center"/>
          </w:tcPr>
          <w:p w14:paraId="4B2129F6"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Las restricciones en compras públicas limitan </w:t>
            </w:r>
            <w:r w:rsidR="00D36404" w:rsidRPr="00155C54">
              <w:rPr>
                <w:rFonts w:ascii="Arial" w:hAnsi="Arial" w:cs="Arial"/>
                <w:sz w:val="18"/>
                <w:szCs w:val="18"/>
                <w:lang w:val="es-ES"/>
              </w:rPr>
              <w:t xml:space="preserve">a las </w:t>
            </w:r>
            <w:r w:rsidRPr="00155C54">
              <w:rPr>
                <w:rFonts w:ascii="Arial" w:hAnsi="Arial" w:cs="Arial"/>
                <w:sz w:val="18"/>
                <w:szCs w:val="18"/>
                <w:lang w:val="es-ES"/>
              </w:rPr>
              <w:t xml:space="preserve">microempresas, reduciendo </w:t>
            </w:r>
            <w:r w:rsidR="00D36404" w:rsidRPr="00155C54">
              <w:rPr>
                <w:rFonts w:ascii="Arial" w:hAnsi="Arial" w:cs="Arial"/>
                <w:sz w:val="18"/>
                <w:szCs w:val="18"/>
                <w:lang w:val="es-ES"/>
              </w:rPr>
              <w:t xml:space="preserve">la </w:t>
            </w:r>
            <w:r w:rsidRPr="00155C54">
              <w:rPr>
                <w:rFonts w:ascii="Arial" w:hAnsi="Arial" w:cs="Arial"/>
                <w:sz w:val="18"/>
                <w:szCs w:val="18"/>
                <w:lang w:val="es-ES"/>
              </w:rPr>
              <w:t>competencia y afectando el compromiso en la gestión de proyectos estatales.</w:t>
            </w:r>
          </w:p>
        </w:tc>
      </w:tr>
      <w:tr w:rsidR="00B62AE9" w:rsidRPr="00155C54" w14:paraId="009AC658"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D854473"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{"citationItems":[{"id":"ITEM-1","itemData":{"DOI":"10.7769/gesec.v12i1.1134","ISSN":"2178-9010","abstract":"The analysis of innovation contests and/or awards represents a promotion to the production of this topic in public administration. This research aimed at mapping the main antecedent innovation dimensions which are present in the initiatives awarded by the Innovation Contest in Public Administration. This is a qualitative and descriptive work based on documental research whose data characterization/classification was done according to the model by De Vries, Beckkers and Tummers (2016). A theme analysis was used with the support of the QSR NVivo® software. The results pointed that, from 2008 to 2016, innovation in the initiatives awarded happened predominantly in the federal domain and it is the process-type. The main dimensions that contributed to innovation in the public administration were: Social Participation (Environmental antecedent); Client/beneficiary and market knowledge, Strategic information management/Standardization of data and processes, Strategic planning and Transforming leadership/Managers’ pro-innovation attitudes (Organizational antecedents); Strategic intention to innovate and Project management (Innovation Characteristics antecedents); and Commitment (Individual antecedents). The managerial contribution of this research lies on the identification of the main antecedent dimensions, such as the good practices that contribute to innovation in the public administration, since they can control plans, programs and innovation policies, especially on subnational levels. The dimensions that were mapped could also favor the development of an innovation culture that has society satisfaction with public services as a result.","author":[{"dropping-particle":"","family":"Maia","given":"Herta Camila Fernandes Diógenes Nunes","non-dropping-particle":"","parse-names":false,"suffix":""},{"dropping-particle":"de","family":"Castro","given":"Ahiram Brunni Cartaxo","non-dropping-particle":"","parse-names":false,"suffix":""},{"dropping-particle":"","family":"Nodari","given":"Cristine Hermann","non-dropping-particle":"","parse-names":false,"suffix":""},{"dropping-particle":"de","family":"Oliveira","given":"Wanderson Fernandes Modesto","non-dropping-particle":"","parse-names":false,"suffix":""}],"container-title":"Revista de Gestão e Secretariado","id":"ITEM-1","issue":"1","issued":{"date-parts":[["2021","4","10"]]},"page":"26-52","publisher":"Revista de Gestae e Secretariado (GESEC)","title":"Antecedent dimensions in the brazilian public administration: an analysis of the innovation contest in the public sector","type":"article-journal","volume":"12"},"uris":["http://www.mendeley.com/documents/?uuid=eab13c5e-b8b6-3281-93cf-a105a9c252f3"]}],"mendeley":{"formattedCitation":"(Maia et al., 2021)","manualFormatting":"Maia et al.\r(2021)","plainTextFormattedCitation":"(Maia et al., 2021)","previouslyFormattedCitation":"(Maia et al., 2021)"},"properties":{"noteIndex":0},"schema":"https://github.com/citation-style-language/schema/raw/master/csl-citation.json"}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Maia et al.</w:t>
            </w:r>
          </w:p>
          <w:p w14:paraId="2C9FD4A2"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(2021)</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0AAD1136"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Mapear </w:t>
            </w:r>
            <w:r w:rsidR="00D36404" w:rsidRPr="00155C54">
              <w:rPr>
                <w:rFonts w:ascii="Arial" w:hAnsi="Arial" w:cs="Arial"/>
                <w:sz w:val="18"/>
                <w:szCs w:val="18"/>
                <w:lang w:val="es-PE"/>
              </w:rPr>
              <w:t xml:space="preserve">las </w:t>
            </w:r>
            <w:r w:rsidRPr="00155C54">
              <w:rPr>
                <w:rFonts w:ascii="Arial" w:hAnsi="Arial" w:cs="Arial"/>
                <w:sz w:val="18"/>
                <w:szCs w:val="18"/>
                <w:lang w:val="es-PE"/>
              </w:rPr>
              <w:t>dimensiones que contribuyen a la innovación en la administración pública.</w:t>
            </w:r>
          </w:p>
        </w:tc>
        <w:tc>
          <w:tcPr>
            <w:tcW w:w="1417" w:type="dxa"/>
            <w:vAlign w:val="center"/>
          </w:tcPr>
          <w:p w14:paraId="2C7A0D99"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Cualitativo</w:t>
            </w:r>
            <w:r w:rsidRPr="00155C54">
              <w:rPr>
                <w:rFonts w:ascii="Arial" w:hAnsi="Arial" w:cs="Arial"/>
                <w:sz w:val="18"/>
                <w:szCs w:val="18"/>
                <w:lang w:val="es-PE"/>
              </w:rPr>
              <w:br/>
              <w:t>Investigación documental</w:t>
            </w:r>
          </w:p>
        </w:tc>
        <w:tc>
          <w:tcPr>
            <w:tcW w:w="3969" w:type="dxa"/>
            <w:vAlign w:val="center"/>
          </w:tcPr>
          <w:p w14:paraId="61687D46"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participación social en proyectos públicos mejora </w:t>
            </w:r>
            <w:r w:rsidR="00D36404" w:rsidRPr="00155C54">
              <w:rPr>
                <w:rFonts w:ascii="Arial" w:hAnsi="Arial" w:cs="Arial"/>
                <w:sz w:val="18"/>
                <w:szCs w:val="18"/>
                <w:lang w:val="es-ES"/>
              </w:rPr>
              <w:t xml:space="preserve">la </w:t>
            </w:r>
            <w:r w:rsidRPr="00155C54">
              <w:rPr>
                <w:rFonts w:ascii="Arial" w:hAnsi="Arial" w:cs="Arial"/>
                <w:sz w:val="18"/>
                <w:szCs w:val="18"/>
                <w:lang w:val="es-ES"/>
              </w:rPr>
              <w:t>eficiencia, facilitando la contratación y optimizando resultados en la gestión de proyectos estatales.</w:t>
            </w:r>
          </w:p>
        </w:tc>
      </w:tr>
      <w:tr w:rsidR="00B62AE9" w:rsidRPr="00155C54" w14:paraId="162915A8"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4CB7BE43"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{"citationItems":[{"id":"ITEM-1","itemData":{"DOI":"10.1590/1982-7849RAC2021190044.EN","ISSN":"1415-6555","abstract":"ABSTRACT Context: in recent years, studies have sought to analyze how intelligence and knowledge management processes are understood and applied in the context of public management, environments in which processes appear as a point to be explored to enhance decision-making quality. Objective: to analyze how public managers apply intelligence and knowledge management aiming at a higher decision quality. Method: based on a defined and validated research protocol, interviews were conducted with seventeen public managers in southern Brazil. For the analysis, the qualitative comparative analysis technique using fuzzy sets was applied. Results: the results suggest the importance of effective data, information, and knowledge management for the decision-making quality of public managers, demonstrating that the absence of decision-making quality is directly related to the absence or little use of knowledge management and intelligence elements in the public management. Conclusion: in addition to analyzing conditions and proposing ways to lead to greater quality in decision making by public managers, it was possible to contribute to the theme of knowledge management and intelligence in public management, as well as to benefit the government with paths to be consolidated and better explored.","author":[{"dropping-particle":"","family":"Melati","given":"Claudia","non-dropping-particle":"","parse-names":false,"suffix":""},{"dropping-particle":"","family":"Janissek-Muniz","given":"Raquel","non-dropping-particle":"","parse-names":false,"suffix":""},{"dropping-particle":"","family":"Marques","given":"Carla Maria","non-dropping-particle":"","parse-names":false,"suffix":""}],"container-title":"Revista de Administração Contemporânea","id":"ITEM-1","issue":"2","issued":{"date-parts":[["2021","11","6"]]},"page":"e190044","publisher":"Associação Nacional de Pós-Graduação e Pesquisa em Administração","title":"Decision-Making Quality of Public Managers: Contributions from Intelligence and Knowledge Management","type":"article-journal","volume":"25"},"uris":["http://www.mendeley.com/documents/?uuid=794c46bf-46a4-31af-b6b0-7cfdb3d95a08"]}],"mendeley":{"formattedCitation":"(Melati et al., 2021)","manualFormatting":"Melati et al. (2021)","plainTextFormattedCitation":"(Melati et al., 2021)","previouslyFormattedCitation":"(Melati et al., 2021)"},"properties":{"noteIndex":0},"schema":"https://github.com/citation-style-language/schema/raw/master/csl-citation.json"}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Melati et al. (2021)</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400AF532" w14:textId="77777777" w:rsidR="00B62AE9" w:rsidRPr="00155C54" w:rsidRDefault="00B62AE9" w:rsidP="00D3640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Analizar cómo los gestores públicos aplican </w:t>
            </w:r>
            <w:r w:rsidR="00D36404" w:rsidRPr="00155C54">
              <w:rPr>
                <w:rFonts w:ascii="Arial" w:hAnsi="Arial" w:cs="Arial"/>
                <w:sz w:val="18"/>
                <w:szCs w:val="18"/>
                <w:lang w:val="es-PE"/>
              </w:rPr>
              <w:t xml:space="preserve">la </w:t>
            </w:r>
            <w:r w:rsidRPr="00155C54">
              <w:rPr>
                <w:rFonts w:ascii="Arial" w:hAnsi="Arial" w:cs="Arial"/>
                <w:sz w:val="18"/>
                <w:szCs w:val="18"/>
                <w:lang w:val="es-PE"/>
              </w:rPr>
              <w:t xml:space="preserve">gestión del conocimiento e inteligencia en </w:t>
            </w:r>
            <w:r w:rsidR="00D36404" w:rsidRPr="00155C54">
              <w:rPr>
                <w:rFonts w:ascii="Arial" w:hAnsi="Arial" w:cs="Arial"/>
                <w:sz w:val="18"/>
                <w:szCs w:val="18"/>
                <w:lang w:val="es-PE"/>
              </w:rPr>
              <w:t xml:space="preserve">la toma de </w:t>
            </w:r>
            <w:r w:rsidRPr="00155C54">
              <w:rPr>
                <w:rFonts w:ascii="Arial" w:hAnsi="Arial" w:cs="Arial"/>
                <w:sz w:val="18"/>
                <w:szCs w:val="18"/>
                <w:lang w:val="es-PE"/>
              </w:rPr>
              <w:t>decisiones.</w:t>
            </w:r>
          </w:p>
        </w:tc>
        <w:tc>
          <w:tcPr>
            <w:tcW w:w="1417" w:type="dxa"/>
            <w:vAlign w:val="center"/>
          </w:tcPr>
          <w:p w14:paraId="7F6D50D5"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Cualitativo</w:t>
            </w:r>
            <w:r w:rsidRPr="00155C54">
              <w:rPr>
                <w:rFonts w:ascii="Arial" w:hAnsi="Arial" w:cs="Arial"/>
                <w:sz w:val="18"/>
                <w:szCs w:val="18"/>
                <w:lang w:val="es-PE"/>
              </w:rPr>
              <w:br/>
              <w:t>Exploratorio</w:t>
            </w:r>
          </w:p>
        </w:tc>
        <w:tc>
          <w:tcPr>
            <w:tcW w:w="3969" w:type="dxa"/>
            <w:vAlign w:val="center"/>
          </w:tcPr>
          <w:p w14:paraId="1FC2FB22"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gestión de datos en contratación pública mejora </w:t>
            </w:r>
            <w:r w:rsidR="00D36404" w:rsidRPr="00155C54">
              <w:rPr>
                <w:rFonts w:ascii="Arial" w:hAnsi="Arial" w:cs="Arial"/>
                <w:sz w:val="18"/>
                <w:szCs w:val="18"/>
                <w:lang w:val="es-ES"/>
              </w:rPr>
              <w:t xml:space="preserve">las </w:t>
            </w:r>
            <w:r w:rsidRPr="00155C54">
              <w:rPr>
                <w:rFonts w:ascii="Arial" w:hAnsi="Arial" w:cs="Arial"/>
                <w:sz w:val="18"/>
                <w:szCs w:val="18"/>
                <w:lang w:val="es-ES"/>
              </w:rPr>
              <w:t xml:space="preserve">decisiones, aumentando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eficiencia, </w:t>
            </w:r>
            <w:r w:rsidR="00D36404" w:rsidRPr="00155C54">
              <w:rPr>
                <w:rFonts w:ascii="Arial" w:hAnsi="Arial" w:cs="Arial"/>
                <w:sz w:val="18"/>
                <w:szCs w:val="18"/>
                <w:lang w:val="es-ES"/>
              </w:rPr>
              <w:t xml:space="preserve">la </w:t>
            </w:r>
            <w:r w:rsidRPr="00155C54">
              <w:rPr>
                <w:rFonts w:ascii="Arial" w:hAnsi="Arial" w:cs="Arial"/>
                <w:sz w:val="18"/>
                <w:szCs w:val="18"/>
                <w:lang w:val="es-ES"/>
              </w:rPr>
              <w:t xml:space="preserve">eficacia y </w:t>
            </w:r>
            <w:r w:rsidR="00D36404" w:rsidRPr="00155C54">
              <w:rPr>
                <w:rFonts w:ascii="Arial" w:hAnsi="Arial" w:cs="Arial"/>
                <w:sz w:val="18"/>
                <w:szCs w:val="18"/>
                <w:lang w:val="es-ES"/>
              </w:rPr>
              <w:t xml:space="preserve">el </w:t>
            </w:r>
            <w:r w:rsidRPr="00155C54">
              <w:rPr>
                <w:rFonts w:ascii="Arial" w:hAnsi="Arial" w:cs="Arial"/>
                <w:sz w:val="18"/>
                <w:szCs w:val="18"/>
                <w:lang w:val="es-ES"/>
              </w:rPr>
              <w:t>cumplimiento de objetivos en la ejecución de proyectos.</w:t>
            </w:r>
          </w:p>
        </w:tc>
      </w:tr>
      <w:tr w:rsidR="00B62AE9" w:rsidRPr="00155C54" w14:paraId="5D555206"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41307A64"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{"citationItems":[{"id":"ITEM-1","itemData":{"DOI":"10.1016/j.ssaho.2022.100260","abstract":"The integrated management of the purchasing chain in the public sector demands from the managers an effective control of the whole process. In developing countries there is a need for more effective control practices, such as knowledge of the costs of the purchasing process. The present research aims to analyze the cost of bidding processes in a small city in Brazil in its different modalities. For its construction, a bibliographic survey was carried out on costs in public administration and public procurement. The research is characterized as being of quantitative and qualitative, and descriptive approach, being developed through a single case study. The unit of analysis is the city of Arapongas, Paraná, Brazil, where primary data was collected (interviews with public servants in the fields of management, control, and human resources) and secondary (financial and budget reports). It was verified that among the different modalities analyzed the cost of the electronic trading tends to be smaller, that is, it is more agile when it comes to the effectiveness of the whole process. We contribute with an important method for data analysis of the small cities that do not have available data for decision making. Practically, this work helps the public administration to decide which is the best form for public contracts.","author":[{"dropping-particle":"","family":"Pereira","given":"Valdinei Juliano","non-dropping-particle":"","parse-names":false,"suffix":""},{"dropping-particle":"","family":"Amâncio","given":"Saulo Fabiano","non-dropping-particle":"","parse-names":false,"suffix":""},{"dropping-particle":"","family":"Capucho","given":"Pablo Henrique Paschoal","non-dropping-particle":"","parse-names":false,"suffix":""},{"dropping-particle":"","family":"Suguihiro","given":"Vera Lucia Tieko","non-dropping-particle":"","parse-names":false,"suffix":""},{"dropping-particle":"","family":"Tridapalli","given":"Juarez Paulo","non-dropping-particle":"","parse-names":false,"suffix":""}],"container-title":"Social Sciences and Humanities Open","id":"ITEM-1","issue":"1","issued":{"date-parts":[["2022"]]},"page":"100260","title":"Cost management in the supply chain: An analysis of the costs of different types of municipal procurement","type":"article-journal","volume":"5"},"uris":["http://www.mendeley.com/documents/?uuid=e5965717-b694-47be-b563-ce0ea437a345"]}],"mendeley":{"formattedCitation":"(Pereira et al., 2022)","manualFormatting":"Pereira et al. (2022)","plainTextFormattedCitation":"(Pereira et al., 2022)","previouslyFormattedCitation":"(Pereira et al., 2022)"},"properties":{"noteIndex":0},"schema":"https://github.com/citation-style-language/schema/raw/master/csl-citation.json"}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Pereira et al. (2022)</w:t>
            </w:r>
            <w:r w:rsidRPr="00155C54">
              <w:rPr>
                <w:rFonts w:ascii="Arial" w:hAnsi="Arial" w:cs="Arial"/>
                <w:sz w:val="18"/>
                <w:szCs w:val="18"/>
              </w:rPr>
              <w:fldChar w:fldCharType="end"/>
            </w:r>
          </w:p>
          <w:p w14:paraId="7BD4162E"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Brasil</w:t>
            </w:r>
          </w:p>
        </w:tc>
        <w:tc>
          <w:tcPr>
            <w:tcW w:w="2551" w:type="dxa"/>
            <w:vAlign w:val="center"/>
          </w:tcPr>
          <w:p w14:paraId="1263EA56"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Analizar los costos de licitación para evaluar </w:t>
            </w:r>
            <w:r w:rsidR="00D36404" w:rsidRPr="00155C54">
              <w:rPr>
                <w:rFonts w:ascii="Arial" w:hAnsi="Arial" w:cs="Arial"/>
                <w:sz w:val="18"/>
                <w:szCs w:val="18"/>
                <w:lang w:val="es-ES"/>
              </w:rPr>
              <w:t xml:space="preserve">la </w:t>
            </w:r>
            <w:r w:rsidRPr="00155C54">
              <w:rPr>
                <w:rFonts w:ascii="Arial" w:hAnsi="Arial" w:cs="Arial"/>
                <w:sz w:val="18"/>
                <w:szCs w:val="18"/>
                <w:lang w:val="es-ES"/>
              </w:rPr>
              <w:t>eficiencia de modalidades de contratación pública.</w:t>
            </w:r>
          </w:p>
        </w:tc>
        <w:tc>
          <w:tcPr>
            <w:tcW w:w="1417" w:type="dxa"/>
            <w:vAlign w:val="center"/>
          </w:tcPr>
          <w:p w14:paraId="1E219007"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p>
        </w:tc>
        <w:tc>
          <w:tcPr>
            <w:tcW w:w="3969" w:type="dxa"/>
            <w:vAlign w:val="center"/>
          </w:tcPr>
          <w:p w14:paraId="089F2B85"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La subasta electrónica reduce costos y agiliza la contratación pública, optimizando la asignación de recursos, el gasto y la ejecución de proyectos.</w:t>
            </w:r>
          </w:p>
        </w:tc>
      </w:tr>
      <w:tr w:rsidR="00B62AE9" w:rsidRPr="00155C54" w14:paraId="6C73C360"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2D389FAD"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{"citationItems":[{"id":"ITEM-1","itemData":{"DOI":"10.36097/rsan.v1i43.1445","abstract":"Differences between the estimated and final prices of government bidding processes is a global phenomenon. The literature suggests as prevalent causes the project costs underestimation by contracting entities, unbalanced offers by contractors, and the process of inspection and contract management. However, studies addressing this issue have focused primarily on the identification of unbalanced offers. This study uses a well-established machine learning approach to predict whether the reference budget of a government project will differ from the final project cost in 15% or more. A sample of contracts available on the public procurement portal of the Ecuadorian government in the period 2008-2019 is analyzed. With the help of R Core Team, the study uses Naive Bayes predictive modeling to identify combinations of parameters for the variables region, sector, amount, term and contracting entity, with 70% or more probability that the final cost exceeds the contracted one by 15 % or more. The study identifies 15 possible combinations that can fall within this criterion. This study can help contractors identify risks that are typical of public procurement, and controlling entities to support the ability of government organizations to achieve the objectives set out in their operational and investment plans.","author":[{"dropping-particle":"","family":"Ponce","given":"Jose Miguel","non-dropping-particle":"","parse-names":false,"suffix":""},{"dropping-particle":"","family":"Loor","given":"Ignacio Wilhem","non-dropping-particle":"","parse-names":false,"suffix":""}],"container-title":"Revista San Gregorio","id":"ITEM-1","issue":"43","issued":{"date-parts":[["2020"]]},"page":"1-20","title":"Differences between reference and executed budget in public bidding processes","type":"article-journal"},"uris":["http://www.mendeley.com/documents/?uuid=5f98b46d-e2c6-45a6-9447-3a2c7c3bd6f5"]}],"mendeley":{"formattedCitation":"(Ponce &amp; Loor, 2020)","manualFormatting":"Ponce &amp; Loor (2020)","plainTextFormattedCitation":"(Ponce &amp; Loor, 2020)","previouslyFormattedCitation":"(Ponce &amp; Loor, 2020)"},"properties":{"noteIndex":0},"schema":"https://github.com/citation-style-language/schema/raw/master/csl-citation.json"}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Ponce &amp; Loor (2020)</w:t>
            </w:r>
            <w:r w:rsidRPr="00155C54">
              <w:rPr>
                <w:rFonts w:ascii="Arial" w:hAnsi="Arial" w:cs="Arial"/>
                <w:sz w:val="18"/>
                <w:szCs w:val="18"/>
              </w:rPr>
              <w:fldChar w:fldCharType="end"/>
            </w:r>
          </w:p>
          <w:p w14:paraId="70526E1C"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Ecuador</w:t>
            </w:r>
          </w:p>
        </w:tc>
        <w:tc>
          <w:tcPr>
            <w:tcW w:w="2551" w:type="dxa"/>
            <w:vAlign w:val="center"/>
          </w:tcPr>
          <w:p w14:paraId="25572634"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Predecir sobrecostos superiores al 15% en obras públicas mediante modelos de aprendizaje automático.</w:t>
            </w:r>
          </w:p>
        </w:tc>
        <w:tc>
          <w:tcPr>
            <w:tcW w:w="1417" w:type="dxa"/>
            <w:vAlign w:val="center"/>
          </w:tcPr>
          <w:p w14:paraId="1B616073"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Cuantitativo</w:t>
            </w:r>
          </w:p>
        </w:tc>
        <w:tc>
          <w:tcPr>
            <w:tcW w:w="3969" w:type="dxa"/>
            <w:vAlign w:val="center"/>
          </w:tcPr>
          <w:p w14:paraId="01BDE12A"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ES"/>
              </w:rPr>
            </w:pPr>
            <w:r w:rsidRPr="00155C54">
              <w:rPr>
                <w:rFonts w:ascii="Arial" w:hAnsi="Arial" w:cs="Arial"/>
                <w:sz w:val="18"/>
                <w:szCs w:val="18"/>
                <w:lang w:val="es-ES"/>
              </w:rPr>
              <w:t xml:space="preserve">Las diferencias entre presupuestos y costos en obras públicas derivan de subestimaciones, mejorando </w:t>
            </w:r>
            <w:r w:rsidR="00717F0C" w:rsidRPr="00155C54">
              <w:rPr>
                <w:rFonts w:ascii="Arial" w:hAnsi="Arial" w:cs="Arial"/>
                <w:sz w:val="18"/>
                <w:szCs w:val="18"/>
                <w:lang w:val="es-ES"/>
              </w:rPr>
              <w:t xml:space="preserve">la </w:t>
            </w:r>
            <w:r w:rsidRPr="00155C54">
              <w:rPr>
                <w:rFonts w:ascii="Arial" w:hAnsi="Arial" w:cs="Arial"/>
                <w:sz w:val="18"/>
                <w:szCs w:val="18"/>
                <w:lang w:val="es-ES"/>
              </w:rPr>
              <w:t xml:space="preserve">fiscalización y </w:t>
            </w:r>
            <w:r w:rsidR="00717F0C" w:rsidRPr="00155C54">
              <w:rPr>
                <w:rFonts w:ascii="Arial" w:hAnsi="Arial" w:cs="Arial"/>
                <w:sz w:val="18"/>
                <w:szCs w:val="18"/>
                <w:lang w:val="es-ES"/>
              </w:rPr>
              <w:t xml:space="preserve">la </w:t>
            </w:r>
            <w:r w:rsidRPr="00155C54">
              <w:rPr>
                <w:rFonts w:ascii="Arial" w:hAnsi="Arial" w:cs="Arial"/>
                <w:sz w:val="18"/>
                <w:szCs w:val="18"/>
                <w:lang w:val="es-ES"/>
              </w:rPr>
              <w:t>gestión de riesgos al prever sobrecostos.</w:t>
            </w:r>
          </w:p>
        </w:tc>
      </w:tr>
      <w:tr w:rsidR="00B62AE9" w:rsidRPr="00155C54" w14:paraId="281CCB03"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301B1FC8"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{"citationItems":[{"id":"ITEM-1","itemData":{"DOI":"10.1590/1808-057X20231716.PT","abstract":"Usando a perspectiva de paradoxo organizacional, o estudo discute como um contexto de emergência nacional modifica a propensão à transparência das dispensas de licitações em prefeituras. A análise empírica indica as tensões à transparência do processo de compras no poder público e que a literatura de controle público deve considerar, de forma diferenciada, os contextos de emergência e de normalidade. Situações emergenciais, em que recursos orçamentários são aplicados a contratações emergenciais em regime de urgência, requerem maior transparência e controle, para reduzir o risco de mau uso do recurso. Paradoxalmente, observam-se redução da transparência e maior fragilização do controle social. Os níveis de transparência de governos locais, sob uma mesma legislação, oscilam de acordo com o apoio político e entendimento de autoridades em diferentes legislaturas e mandatos e entre períodos de emergência ou normalidade. É desejável que entidades de controle e sociedade civil estejam atentas aos eventuais retrocessos nas práticas de transparência em períodos de emergência, mesmo para as prefeituras que são exemplos de transparência em períodos de normalidade. Foi realizada análise de conteúdo de 1.528 dispensas de licitações de 32 municípios paulistas de pequeno porte nos anos de 2019 e 2020. O nível de transparência das licitações foi comparado antes e no 1º ano de pandemia. Em seguida, foram realizadas entrevistas com servidores públicos com experiência nas práticas de transparência nesses municípios, assim como com jornalistas e líderes de organizações não governamentais (ONGs), para validar as reflexões sobre a transparência do processo de contratação durante a pandemia. Situações de emergência podem alterar as práticas associadas à transparência fiscal em governos locais quando autoridades nacionais flexibilizam as regras de contratação. O estudo mostra que a emergência da pandemia da covid-19 gerou redução da transparência na contratação de insumos em alguns municípios, sobretudo nos contratos de insumos e serviços para combater a crise da pandemia.","author":[{"dropping-particle":"","family":"Precinotto","given":"André","non-dropping-particle":"","parse-names":false,"suffix":""},{"dropping-particle":"","family":"Silva","given":"Lidiane Nazaré","non-dropping-particle":"Da","parse-names":false,"suffix":""},{"dropping-particle":"","family":"Aquino","given":"André Carlos Busanelli","non-dropping-particle":"De","parse-names":false,"suffix":""}],"container-title":"Revista Contabilidade e Financas","id":"ITEM-1","issue":"93","issued":{"date-parts":[["2023"]]},"page":"1-16","title":"Transparency in tender waivers in local governments during emergency situations","type":"article-journal","volume":"34"},"uris":["http://www.mendeley.com/documents/?uuid=640b0fcd-b14d-4c1b-bd79-be1b3ea33800"]}],"mendeley":{"formattedCitation":"(Precinotto et al., 2023)","manualFormatting":"Precinotto et al. (2023)","plainTextFormattedCitation":"(Precinotto et al., 2023)","previouslyFormattedCitation":"(Precinotto et al., 2023)"},"properties":{"noteIndex":0},"schema":"https://github.com/citation-style-language/schema/raw/master/csl-citation.json"}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Precinotto et al. (2023)</w:t>
            </w:r>
            <w:r w:rsidRPr="00155C54">
              <w:rPr>
                <w:rFonts w:ascii="Arial" w:hAnsi="Arial" w:cs="Arial"/>
                <w:sz w:val="18"/>
                <w:szCs w:val="18"/>
              </w:rPr>
              <w:fldChar w:fldCharType="end"/>
            </w:r>
          </w:p>
          <w:p w14:paraId="1B9F0769"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Brasil</w:t>
            </w:r>
          </w:p>
        </w:tc>
        <w:tc>
          <w:tcPr>
            <w:tcW w:w="2551" w:type="dxa"/>
            <w:vAlign w:val="center"/>
          </w:tcPr>
          <w:p w14:paraId="3EEC131F"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Analizar el impacto de emergencias en la transparencia y divulgación de contrataciones públicas.</w:t>
            </w:r>
          </w:p>
        </w:tc>
        <w:tc>
          <w:tcPr>
            <w:tcW w:w="1417" w:type="dxa"/>
            <w:vAlign w:val="center"/>
          </w:tcPr>
          <w:p w14:paraId="01A66D26"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Cualitativo</w:t>
            </w:r>
          </w:p>
        </w:tc>
        <w:tc>
          <w:tcPr>
            <w:tcW w:w="3969" w:type="dxa"/>
            <w:vAlign w:val="center"/>
          </w:tcPr>
          <w:p w14:paraId="68B5F8F5"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En emergencias, la contratación pública privilegia rapidez sobre transparencia, reduciendo competencia, elevando costos y afectando </w:t>
            </w:r>
            <w:r w:rsidR="00717F0C" w:rsidRPr="00155C54">
              <w:rPr>
                <w:rFonts w:ascii="Arial" w:hAnsi="Arial" w:cs="Arial"/>
                <w:sz w:val="18"/>
                <w:szCs w:val="18"/>
                <w:lang w:val="es-ES"/>
              </w:rPr>
              <w:t xml:space="preserve">la </w:t>
            </w:r>
            <w:r w:rsidRPr="00155C54">
              <w:rPr>
                <w:rFonts w:ascii="Arial" w:hAnsi="Arial" w:cs="Arial"/>
                <w:sz w:val="18"/>
                <w:szCs w:val="18"/>
                <w:lang w:val="es-ES"/>
              </w:rPr>
              <w:t>planificación, ejecución y supervisión de proyectos.</w:t>
            </w:r>
          </w:p>
        </w:tc>
      </w:tr>
      <w:tr w:rsidR="00B62AE9" w:rsidRPr="00155C54" w14:paraId="6F879D8C"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73A508A1" w14:textId="77777777" w:rsidR="00B62AE9" w:rsidRPr="00155C54" w:rsidRDefault="00B62AE9" w:rsidP="00B62AE9">
            <w:pPr>
              <w:spacing w:after="0" w:line="240" w:lineRule="auto"/>
              <w:jc w:val="center"/>
              <w:rPr>
                <w:rFonts w:ascii="Arial" w:hAnsi="Arial" w:cs="Arial"/>
                <w:b w:val="0"/>
                <w:sz w:val="18"/>
                <w:szCs w:val="18"/>
                <w:lang w:val="pt-BR"/>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{"citationItems":[{"id":"ITEM-1","itemData":{"DOI":"10.7769/gesec.v14i8.2562","ISSN":"2178-9010","abstract":"Para a realização das despesas públicas, o gestor deve observar regras previstas na legislação. Atualmente, existe um conflito entre o pregão eletrônico e presencial, notadamente na escolha de um ou outro mode- lo como ferramenta de contratação pública. Ambas as modalidades apresentam diferentes efeitos sobre o desenvolvimento local e definir com precisão qual a melhor delas é um desafio para os todos os gestores públicos. Este estudo é elaborado mediante apoio da teoria do New Public Management, abordando os no- vos conceitos de gestão aplicados ao setor público, da Teoria de Sistemas e Teoria da Burocracia. A pesqui- sa busca responder a seguinte questão: a utilização da modalidade pregão eletrônico, em detrimento do pregão presencial, contribui para o desenvolvimento local? Traz como objetivo geral estudar o pregão em face do desenvolvimento local, com base na teoria New Public Management. Para alcançar o resultado, traz como objetivos específicos: caracterizar o gerenciamento operacional do pregão no locus investigativo (1); apontar os elementos de desenvolvimento local afetados pelo pregão (2); propor a inovação requerida con- cernente a tomada de decisão para a convergência entre as atividades do pregão e o desenvolvimento local (3). Aplicar-se-á o método de estudo de caso, através de uma pesquisa quali-quantitativa e como procedimento de coleta de dados, a aplicação de formulários, através dos quais os informes serão tratados pela escala Likert e coleta de dados secundários em plataformas públicas. A análise dos dados consistiu na aplicação de estatística descritiva multivariada, utilizando como suporte os Softwares Excel e SPSS versão 24.0.","author":[{"dropping-particle":"","family":"Ribeiro","given":"Leonardo Falcão","non-dropping-particle":"","parse-names":false,"suffix":""},{"dropping-particle":"","family":"Filho","given":"Flávio de São Pedro","non-dropping-particle":"","parse-names":false,"suffix":""},{"dropping-particle":"","family":"Misquita","given":"Raisse Patrício","non-dropping-particle":"","parse-names":false,"suffix":""}],"container-title":"Revista de Gestão e Secretariado","id":"ITEM-1","issue":"8","issued":{"date-parts":[["2023","8","7"]]},"page":"12694-12711","publisher":"South Florida Publishing LLC","title":"Licitação pública como instrumento na gestão de projetos públicos para o desenvolvimento local na Amazônia","type":"article-journal","volume":"14"},"uris":["http://www.mendeley.com/documents/?uuid=54ba7385-0a75-3222-8336-a49ded08d7da"]}],"mendeley":{"formattedCitation":"(Ribeiro et al., 2023)","manualFormatting":"Ribeiro et al. (2023)","plainTextFormattedCitation":"(Ribeiro et al., 2023)","previouslyFormattedCitation":"(Ribeiro et al., 2023)"},"properties":{"noteIndex":0},"schema":"https://github.com/citation-style-language/schema/raw/master/csl-citation.json"}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Ribeiro et al. (2023)</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tcPr>
          <w:p w14:paraId="1D4900D3"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Estudiar</w:t>
            </w:r>
            <w:r w:rsidR="00717F0C" w:rsidRPr="00155C54">
              <w:rPr>
                <w:rFonts w:ascii="Arial" w:hAnsi="Arial" w:cs="Arial"/>
                <w:sz w:val="18"/>
                <w:szCs w:val="18"/>
                <w:lang w:val="es-PE"/>
              </w:rPr>
              <w:t xml:space="preserve"> el</w:t>
            </w:r>
            <w:r w:rsidRPr="00155C54">
              <w:rPr>
                <w:rFonts w:ascii="Arial" w:hAnsi="Arial" w:cs="Arial"/>
                <w:sz w:val="18"/>
                <w:szCs w:val="18"/>
                <w:lang w:val="es-PE"/>
              </w:rPr>
              <w:t xml:space="preserve"> impacto de modalidades de licitación pública en desarrollo local según </w:t>
            </w:r>
            <w:r w:rsidR="00717F0C" w:rsidRPr="00155C54">
              <w:rPr>
                <w:rFonts w:ascii="Arial" w:hAnsi="Arial" w:cs="Arial"/>
                <w:sz w:val="18"/>
                <w:szCs w:val="18"/>
                <w:lang w:val="es-PE"/>
              </w:rPr>
              <w:t xml:space="preserve">la </w:t>
            </w:r>
            <w:r w:rsidRPr="00155C54">
              <w:rPr>
                <w:rFonts w:ascii="Arial" w:hAnsi="Arial" w:cs="Arial"/>
                <w:sz w:val="18"/>
                <w:szCs w:val="18"/>
                <w:lang w:val="es-PE"/>
              </w:rPr>
              <w:t xml:space="preserve">teoría </w:t>
            </w:r>
            <w:r w:rsidR="00717F0C" w:rsidRPr="00155C54">
              <w:rPr>
                <w:rFonts w:ascii="Arial" w:hAnsi="Arial" w:cs="Arial"/>
                <w:sz w:val="18"/>
                <w:szCs w:val="18"/>
                <w:lang w:val="es-PE"/>
              </w:rPr>
              <w:t xml:space="preserve">de </w:t>
            </w:r>
            <w:r w:rsidRPr="00155C54">
              <w:rPr>
                <w:rFonts w:ascii="Arial" w:hAnsi="Arial" w:cs="Arial"/>
                <w:sz w:val="18"/>
                <w:szCs w:val="18"/>
                <w:lang w:val="es-PE"/>
              </w:rPr>
              <w:t>gestión pública.</w:t>
            </w:r>
          </w:p>
        </w:tc>
        <w:tc>
          <w:tcPr>
            <w:tcW w:w="1417" w:type="dxa"/>
            <w:vAlign w:val="center"/>
          </w:tcPr>
          <w:p w14:paraId="14B16DB4"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Estudio de caso</w:t>
            </w:r>
          </w:p>
        </w:tc>
        <w:tc>
          <w:tcPr>
            <w:tcW w:w="3969" w:type="dxa"/>
            <w:vAlign w:val="center"/>
          </w:tcPr>
          <w:p w14:paraId="75CA5E11"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licitación electrónica no ha favorecido el desarrollo local, pues sus efectos sociales y financieros no generan mejoras en </w:t>
            </w:r>
            <w:r w:rsidR="00717F0C" w:rsidRPr="00155C54">
              <w:rPr>
                <w:rFonts w:ascii="Arial" w:hAnsi="Arial" w:cs="Arial"/>
                <w:sz w:val="18"/>
                <w:szCs w:val="18"/>
                <w:lang w:val="es-ES"/>
              </w:rPr>
              <w:t xml:space="preserve">la </w:t>
            </w:r>
            <w:r w:rsidRPr="00155C54">
              <w:rPr>
                <w:rFonts w:ascii="Arial" w:hAnsi="Arial" w:cs="Arial"/>
                <w:sz w:val="18"/>
                <w:szCs w:val="18"/>
                <w:lang w:val="es-ES"/>
              </w:rPr>
              <w:t>contratación y gestión.</w:t>
            </w:r>
          </w:p>
        </w:tc>
      </w:tr>
      <w:tr w:rsidR="00B62AE9" w:rsidRPr="00155C54" w14:paraId="6FE892EC"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40B3E8F0" w14:textId="77777777" w:rsidR="00B62AE9" w:rsidRPr="00155C54" w:rsidRDefault="00B62AE9" w:rsidP="00B62AE9">
            <w:pPr>
              <w:spacing w:after="0" w:line="240" w:lineRule="auto"/>
              <w:jc w:val="center"/>
              <w:rPr>
                <w:rFonts w:ascii="Arial" w:hAnsi="Arial" w:cs="Arial"/>
                <w:b w:val="0"/>
                <w:sz w:val="18"/>
                <w:szCs w:val="18"/>
                <w:lang w:val="pt-BR"/>
              </w:rPr>
            </w:pPr>
            <w:r w:rsidRPr="00155C54">
              <w:rPr>
                <w:rFonts w:ascii="Arial" w:hAnsi="Arial" w:cs="Arial"/>
                <w:sz w:val="18"/>
                <w:szCs w:val="18"/>
                <w:lang w:val="pt-BR"/>
              </w:rPr>
              <w:fldChar w:fldCharType="begin" w:fldLock="1"/>
            </w:r>
            <w:r w:rsidRPr="00155C54">
              <w:rPr>
                <w:rFonts w:ascii="Arial" w:hAnsi="Arial" w:cs="Arial"/>
                <w:b w:val="0"/>
                <w:sz w:val="18"/>
                <w:szCs w:val="18"/>
                <w:lang w:val="pt-BR"/>
              </w:rPr>
              <w:instrText>ADDIN CSL_CITATION {"citationItems":[{"id":"ITEM-1","itemData":{"DOI":"10.7769/gesec.v14i7.2240","ISSN":"2178-9010","abstract":"Experiências apontam a necessidade de aprimoramentos metodológicos no âmbito do controle do Plano de Contratações Anual e a importância de uma ferramenta multifacetada para o seu gerenciamento. A pesquisa tem como objetivo geral desenhar uma metodologia para gerenciamento de planos de contratações anual otimizado por diretrizes multifacetadas inovadoras. A fundamentação teórica baseia-se na Teoria da Nova Governança Pública. Utiliza-se o método de Análise de Conteúdo para fornecer rigor técnico à pesquisa. Os resultados revelam que o modelo de acompanhamento atualmente adotado no organismo pesquisado é restrito ao gestor e às equipes de planejamento de cada contratação, resultando em limitado conhecimento sobre o progresso do trabalho das demais equipes operantes. A análise situacional indica a ocorrência de reuniões extensas, desmotivadoras, de baixa adesão e ineficazes como único meio de disseminação das informações necessárias para o gerenciamento do PCA, metodologia incapaz de atender a filosofia do sistema de controle. Diante desses resultados, propõe-se uma ferramenta multifacetada operada em rede, com banco de dados em nuvem, com dispositivos essenciais para um gerenciamento inovador, suportes utilitários como Ciclo PDCA, 5W2H, Matriz GUT, Gráfico de Gantt e Dashboard para obtenção dinâmica de informações essenciais à tomada de decisões eficientes. Este estudo é relevante para gestores públicos envolvidos em aquisições, contratações e entregas em organismos governamentais, bem como para auditores, estudiosos em geral, mobilizadores sociais, empreendedores e fornecedores interessados e comprometidos com a excelência nos serviços públicos. A ferramenta proposta visa otimizar o gerenciamento do PCA e contribuir para a eficiência e excelência no setor público.","author":[{"dropping-particle":"","family":"Salvador","given":"Elias Justo","non-dropping-particle":"","parse-names":false,"suffix":""},{"dropping-particle":"","family":"São Pedro","given":"Flávio","non-dropping-particle":"De","parse-names":false,"suffix":""}],"container-title":"Revista de Gestão e Secretariado","id":"ITEM-1","issue":"7","issued":{"date-parts":[["2023","7","20"]]},"page":"11396-11413","publisher":"South Florida Publishing LLC","title":"Ferramenta multifacetada para controle de Plano de Contratações Anual","type":"article-journal","volume":"14"},"uris":["http://www.mendeley.com/documents/?uuid=72f16047-1fa9-3bd4-8a28-4bbaf3ac4ecb"]}],"mendeley":{"formattedCitation":"(Salvador &amp; De São Pedro, 2023)","manualFormatting":"Salvador &amp; De São Pedro\r(2023)","plainTextFormattedCitation":"(Salvador &amp; De São Pedro, 2023)","previouslyFormattedCitation":"(Salvador &amp; De São Pedro, 2023)"},"properties":{"noteIndex":0},"schema":"https://github.com/citation-style-language/schema/raw/master/csl-citation.json"}</w:instrText>
            </w:r>
            <w:r w:rsidRPr="00155C54">
              <w:rPr>
                <w:rFonts w:ascii="Arial" w:hAnsi="Arial" w:cs="Arial"/>
                <w:sz w:val="18"/>
                <w:szCs w:val="18"/>
                <w:lang w:val="pt-BR"/>
              </w:rPr>
              <w:fldChar w:fldCharType="separate"/>
            </w:r>
            <w:r w:rsidRPr="00155C54">
              <w:rPr>
                <w:rFonts w:ascii="Arial" w:hAnsi="Arial" w:cs="Arial"/>
                <w:b w:val="0"/>
                <w:sz w:val="18"/>
                <w:szCs w:val="18"/>
                <w:lang w:val="pt-BR"/>
              </w:rPr>
              <w:t>Salvador &amp; De São Pedro</w:t>
            </w:r>
          </w:p>
          <w:p w14:paraId="50FC1A60" w14:textId="77777777" w:rsidR="00B62AE9" w:rsidRPr="00155C54" w:rsidRDefault="00B62AE9" w:rsidP="00B62AE9">
            <w:pPr>
              <w:spacing w:after="0" w:line="240" w:lineRule="auto"/>
              <w:jc w:val="center"/>
              <w:rPr>
                <w:rFonts w:ascii="Arial" w:hAnsi="Arial" w:cs="Arial"/>
                <w:b w:val="0"/>
                <w:sz w:val="18"/>
                <w:szCs w:val="18"/>
                <w:lang w:val="pt-BR"/>
              </w:rPr>
            </w:pPr>
            <w:r w:rsidRPr="00155C54">
              <w:rPr>
                <w:rFonts w:ascii="Arial" w:hAnsi="Arial" w:cs="Arial"/>
                <w:b w:val="0"/>
                <w:sz w:val="18"/>
                <w:szCs w:val="18"/>
                <w:lang w:val="pt-BR"/>
              </w:rPr>
              <w:t>(2023)</w:t>
            </w:r>
            <w:r w:rsidRPr="00155C54">
              <w:rPr>
                <w:rFonts w:ascii="Arial" w:hAnsi="Arial" w:cs="Arial"/>
                <w:sz w:val="18"/>
                <w:szCs w:val="18"/>
              </w:rPr>
              <w:fldChar w:fldCharType="end"/>
            </w:r>
            <w:r w:rsidRPr="00155C54">
              <w:rPr>
                <w:rFonts w:ascii="Arial" w:hAnsi="Arial" w:cs="Arial"/>
                <w:b w:val="0"/>
                <w:sz w:val="18"/>
                <w:szCs w:val="18"/>
                <w:lang w:val="pt-BR"/>
              </w:rPr>
              <w:br/>
              <w:t>Brasil</w:t>
            </w:r>
          </w:p>
        </w:tc>
        <w:tc>
          <w:tcPr>
            <w:tcW w:w="2551" w:type="dxa"/>
            <w:vAlign w:val="center"/>
          </w:tcPr>
          <w:p w14:paraId="728CB0E2"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Diseñar </w:t>
            </w:r>
            <w:r w:rsidR="00717F0C" w:rsidRPr="00155C54">
              <w:rPr>
                <w:rFonts w:ascii="Arial" w:hAnsi="Arial" w:cs="Arial"/>
                <w:sz w:val="18"/>
                <w:szCs w:val="18"/>
                <w:lang w:val="es-PE"/>
              </w:rPr>
              <w:t xml:space="preserve">una </w:t>
            </w:r>
            <w:r w:rsidRPr="00155C54">
              <w:rPr>
                <w:rFonts w:ascii="Arial" w:hAnsi="Arial" w:cs="Arial"/>
                <w:sz w:val="18"/>
                <w:szCs w:val="18"/>
                <w:lang w:val="es-PE"/>
              </w:rPr>
              <w:t>metodología optimizada para gestionar planes anuales de contratación con directrices innovadoras.</w:t>
            </w:r>
          </w:p>
        </w:tc>
        <w:tc>
          <w:tcPr>
            <w:tcW w:w="1417" w:type="dxa"/>
            <w:vAlign w:val="center"/>
          </w:tcPr>
          <w:p w14:paraId="1A6AD068"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Aplicado, descriptivo y exploratorio</w:t>
            </w:r>
          </w:p>
        </w:tc>
        <w:tc>
          <w:tcPr>
            <w:tcW w:w="3969" w:type="dxa"/>
            <w:vAlign w:val="center"/>
          </w:tcPr>
          <w:p w14:paraId="0EC9D477"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falta de divisiones operativas y reuniones efectivas limita el seguimiento del Plan Anual de Adquisiciones, afectando </w:t>
            </w:r>
            <w:r w:rsidR="00717F0C" w:rsidRPr="00155C54">
              <w:rPr>
                <w:rFonts w:ascii="Arial" w:hAnsi="Arial" w:cs="Arial"/>
                <w:sz w:val="18"/>
                <w:szCs w:val="18"/>
                <w:lang w:val="es-ES"/>
              </w:rPr>
              <w:t xml:space="preserve">las </w:t>
            </w:r>
            <w:r w:rsidRPr="00155C54">
              <w:rPr>
                <w:rFonts w:ascii="Arial" w:hAnsi="Arial" w:cs="Arial"/>
                <w:sz w:val="18"/>
                <w:szCs w:val="18"/>
                <w:lang w:val="es-ES"/>
              </w:rPr>
              <w:t xml:space="preserve">decisiones y </w:t>
            </w:r>
            <w:r w:rsidR="00717F0C" w:rsidRPr="00155C54">
              <w:rPr>
                <w:rFonts w:ascii="Arial" w:hAnsi="Arial" w:cs="Arial"/>
                <w:sz w:val="18"/>
                <w:szCs w:val="18"/>
                <w:lang w:val="es-ES"/>
              </w:rPr>
              <w:t xml:space="preserve">la </w:t>
            </w:r>
            <w:r w:rsidRPr="00155C54">
              <w:rPr>
                <w:rFonts w:ascii="Arial" w:hAnsi="Arial" w:cs="Arial"/>
                <w:sz w:val="18"/>
                <w:szCs w:val="18"/>
                <w:lang w:val="es-ES"/>
              </w:rPr>
              <w:t>gestión pública.</w:t>
            </w:r>
          </w:p>
        </w:tc>
      </w:tr>
      <w:tr w:rsidR="00B62AE9" w:rsidRPr="00155C54" w14:paraId="53752602"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hideMark/>
          </w:tcPr>
          <w:p w14:paraId="485962B1"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{"citationItems":[{"id":"ITEM-1","itemData":{"DOI":"10.1080/23311975.2024.2336273","abstract":"The public sector has many challenges when improving business processes. One of those challenges is managing the projects’ success by considering the context and constraints of public management and business process management (BPM). Moreover, the importance of the elements that will drive success can be different depending on the stakeholder and the stage of the project (e.g. initiation, executing, closing), which adds another ingredient of complexity to project management. Aiming to give project management the capacity to manage success criteria and success factors in BPM projects, this research used action research to develop an integrated model of a project management methodology (PRINCE2) and Success Management. A government-to-government BPM project was conducted as a case study to evaluate the model developed. In addition to the integrated model, another contribution of this work is the proposal of two general lists of success criteria and success factors from the perspectives of the client and project team.","author":[{"dropping-particle":"","family":"Takagi","given":"N.","non-dropping-particle":"","parse-names":false,"suffix":""},{"dropping-particle":"","family":"Varajão","given":"J.","non-dropping-particle":"","parse-names":false,"suffix":""},{"dropping-particle":"","family":"Ventura","given":"T.","non-dropping-particle":"","parse-names":false,"suffix":""},{"dropping-particle":"","family":"Ubialli","given":"D.","non-dropping-particle":"","parse-names":false,"suffix":""},{"dropping-particle":"","family":"Silva","given":"T.","non-dropping-particle":"","parse-names":false,"suffix":""}],"container-title":"Cogent Business &amp; Management","id":"ITEM-1","issue":"1","issued":{"date-parts":[["2024"]]},"page":"2336273","title":"Managing success criteria and success factors in a BPM project: an approach using PRINCE2 and Success Management on the public sector","type":"article-journal","volume":"11"},"uris":["http://www.mendeley.com/documents/?uuid=7ffd03f7-8385-4952-8c48-93e6b698f488"]}],"mendeley":{"formattedCitation":"(Takagi et al., 2024)","manualFormatting":"Takagi et al. (2024)","plainTextFormattedCitation":"(Takagi et al., 2024)","previouslyFormattedCitation":"(Takagi et al., 2024)"},"properties":{"noteIndex":0},"schema":"https://github.com/citation-style-language/schema/raw/master/csl-citation.json"}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Takagi et al. (2024)</w:t>
            </w:r>
            <w:r w:rsidRPr="00155C54">
              <w:rPr>
                <w:rFonts w:ascii="Arial" w:hAnsi="Arial" w:cs="Arial"/>
                <w:sz w:val="18"/>
                <w:szCs w:val="18"/>
              </w:rPr>
              <w:fldChar w:fldCharType="end"/>
            </w:r>
            <w:r w:rsidRPr="00155C54">
              <w:rPr>
                <w:rFonts w:ascii="Arial" w:hAnsi="Arial" w:cs="Arial"/>
                <w:b w:val="0"/>
                <w:sz w:val="18"/>
                <w:szCs w:val="18"/>
                <w:lang w:val="es-PE"/>
              </w:rPr>
              <w:br/>
              <w:t>Brasil</w:t>
            </w:r>
          </w:p>
        </w:tc>
        <w:tc>
          <w:tcPr>
            <w:tcW w:w="2551" w:type="dxa"/>
            <w:vAlign w:val="center"/>
            <w:hideMark/>
          </w:tcPr>
          <w:p w14:paraId="282BFCFD"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Desarrollar y evaluar un modelo integrado para gestionar criterios y factores de éxito en proyectos públicos.</w:t>
            </w:r>
          </w:p>
        </w:tc>
        <w:tc>
          <w:tcPr>
            <w:tcW w:w="1417" w:type="dxa"/>
            <w:vAlign w:val="center"/>
            <w:hideMark/>
          </w:tcPr>
          <w:p w14:paraId="3A9543D6"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Investigación acción</w:t>
            </w:r>
          </w:p>
        </w:tc>
        <w:tc>
          <w:tcPr>
            <w:tcW w:w="3969" w:type="dxa"/>
            <w:vAlign w:val="center"/>
            <w:hideMark/>
          </w:tcPr>
          <w:p w14:paraId="0B583EFD"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La contratación pública efectiva mejora la gestión de proyectos, optimizando</w:t>
            </w:r>
            <w:r w:rsidR="00717F0C" w:rsidRPr="00155C54">
              <w:rPr>
                <w:rFonts w:ascii="Arial" w:hAnsi="Arial" w:cs="Arial"/>
                <w:sz w:val="18"/>
                <w:szCs w:val="18"/>
                <w:lang w:val="es-ES"/>
              </w:rPr>
              <w:t xml:space="preserve"> la</w:t>
            </w:r>
            <w:r w:rsidRPr="00155C54">
              <w:rPr>
                <w:rFonts w:ascii="Arial" w:hAnsi="Arial" w:cs="Arial"/>
                <w:sz w:val="18"/>
                <w:szCs w:val="18"/>
                <w:lang w:val="es-ES"/>
              </w:rPr>
              <w:t xml:space="preserve"> interacción, </w:t>
            </w:r>
            <w:r w:rsidR="00717F0C" w:rsidRPr="00155C54">
              <w:rPr>
                <w:rFonts w:ascii="Arial" w:hAnsi="Arial" w:cs="Arial"/>
                <w:sz w:val="18"/>
                <w:szCs w:val="18"/>
                <w:lang w:val="es-ES"/>
              </w:rPr>
              <w:t xml:space="preserve">la </w:t>
            </w:r>
            <w:r w:rsidRPr="00155C54">
              <w:rPr>
                <w:rFonts w:ascii="Arial" w:hAnsi="Arial" w:cs="Arial"/>
                <w:sz w:val="18"/>
                <w:szCs w:val="18"/>
                <w:lang w:val="es-ES"/>
              </w:rPr>
              <w:t xml:space="preserve">eficiencia, </w:t>
            </w:r>
            <w:r w:rsidR="00717F0C" w:rsidRPr="00155C54">
              <w:rPr>
                <w:rFonts w:ascii="Arial" w:hAnsi="Arial" w:cs="Arial"/>
                <w:sz w:val="18"/>
                <w:szCs w:val="18"/>
                <w:lang w:val="es-ES"/>
              </w:rPr>
              <w:t xml:space="preserve">el </w:t>
            </w:r>
            <w:r w:rsidRPr="00155C54">
              <w:rPr>
                <w:rFonts w:ascii="Arial" w:hAnsi="Arial" w:cs="Arial"/>
                <w:sz w:val="18"/>
                <w:szCs w:val="18"/>
                <w:lang w:val="es-ES"/>
              </w:rPr>
              <w:t xml:space="preserve">desempeño y </w:t>
            </w:r>
            <w:r w:rsidR="00717F0C" w:rsidRPr="00155C54">
              <w:rPr>
                <w:rFonts w:ascii="Arial" w:hAnsi="Arial" w:cs="Arial"/>
                <w:sz w:val="18"/>
                <w:szCs w:val="18"/>
                <w:lang w:val="es-ES"/>
              </w:rPr>
              <w:t xml:space="preserve">el </w:t>
            </w:r>
            <w:r w:rsidRPr="00155C54">
              <w:rPr>
                <w:rFonts w:ascii="Arial" w:hAnsi="Arial" w:cs="Arial"/>
                <w:sz w:val="18"/>
                <w:szCs w:val="18"/>
                <w:lang w:val="es-ES"/>
              </w:rPr>
              <w:t>cumplimiento de objetivos estratégicos.</w:t>
            </w:r>
          </w:p>
        </w:tc>
      </w:tr>
      <w:tr w:rsidR="00B62AE9" w:rsidRPr="00155C54" w14:paraId="19493252"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hideMark/>
          </w:tcPr>
          <w:p w14:paraId="503FFA1C"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{"citationItems":[{"id":"ITEM-1","itemData":{"DOI":"10.3390/SU13179605","ISSN":"2071-1050","abstract":"Public procurement involves a process through which the public sector buys goods, services and works from private suppliers to accomplish its functions, including road infrastructure projects. Sustainability, both within the procurement process and the infrastructure outcome, comprises economic, environmental and social dimensions. Sustainable Public Procurement (SPP) is acknowledged as a core dimension of sustainable development goal 12 (SDG12) on sustainable consumption by States and production by businesses, and as a State-business nexus within Pilar I of the UN Guiding Principles on Business and Human Rights (UNGPs). Clearly, SPP delivering sustainable infrastructure involves broad positive effects and benefits for involved stakeholders and leveraging power over business suppliers to include social sustainable criteria within the procurement process is in the State’s hands. However, SPP has been little implemented in developing States such as Mexico resulting in unsustainable infrastructure outcomes. This article explores, through two case studies, the barriers of socially sustainable public procurement of road infrastructure developed by businesses contracted by the State in Mexico. By identifying such barriers, the Mexican State could be able to implement measures to tackle them and deliver on social sustainable infrastructure aligned with its commitments on sustainable development goals and its international obligations on human rights.","author":[{"dropping-particle":"","family":"Treviño-Lozano","given":"Laura","non-dropping-particle":"","parse-names":false,"suffix":""}],"container-title":"Sustainability","id":"ITEM-1","issue":"17","issued":{"date-parts":[["2021","8","26"]]},"page":"9605","publisher":"Multidisciplinary Digital Publishing Institute","title":"Sustainable Public Procurement and Human Rights: Barriers to Deliver on Socially Sustainable Road Infrastructure Projects in Mexico","type":"article-journal","volume":"13"},"uris":["http://www.mendeley.com/documents/?uuid=949740a1-ec39-3e06-a923-285cf5d953f3"]}],"mendeley":{"formattedCitation":"(Treviño-Lozano, 2021)","manualFormatting":"Treviño-Lozano\r(2021)","plainTextFormattedCitation":"(Treviño-Lozano, 2021)","previouslyFormattedCitation":"(Treviño-Lozano, 2021)"},"properties":{"noteIndex":0},"schema":"https://github.com/citation-style-language/schema/raw/master/csl-citation.json"}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Treviño-Lozano</w:t>
            </w:r>
          </w:p>
          <w:p w14:paraId="416AE6C7"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(2021)</w:t>
            </w:r>
            <w:r w:rsidRPr="00155C54">
              <w:rPr>
                <w:rFonts w:ascii="Arial" w:hAnsi="Arial" w:cs="Arial"/>
                <w:sz w:val="18"/>
                <w:szCs w:val="18"/>
              </w:rPr>
              <w:fldChar w:fldCharType="end"/>
            </w:r>
            <w:r w:rsidRPr="00155C54">
              <w:rPr>
                <w:rFonts w:ascii="Arial" w:hAnsi="Arial" w:cs="Arial"/>
                <w:b w:val="0"/>
                <w:sz w:val="18"/>
                <w:szCs w:val="18"/>
                <w:lang w:val="es-PE"/>
              </w:rPr>
              <w:br/>
              <w:t>México</w:t>
            </w:r>
          </w:p>
        </w:tc>
        <w:tc>
          <w:tcPr>
            <w:tcW w:w="2551" w:type="dxa"/>
            <w:vAlign w:val="center"/>
            <w:hideMark/>
          </w:tcPr>
          <w:p w14:paraId="3D243BA2"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Analizar</w:t>
            </w:r>
            <w:r w:rsidR="00717F0C" w:rsidRPr="00155C54">
              <w:rPr>
                <w:rFonts w:ascii="Arial" w:hAnsi="Arial" w:cs="Arial"/>
                <w:sz w:val="18"/>
                <w:szCs w:val="18"/>
                <w:lang w:val="es-PE"/>
              </w:rPr>
              <w:t xml:space="preserve"> las</w:t>
            </w:r>
            <w:r w:rsidRPr="00155C54">
              <w:rPr>
                <w:rFonts w:ascii="Arial" w:hAnsi="Arial" w:cs="Arial"/>
                <w:sz w:val="18"/>
                <w:szCs w:val="18"/>
                <w:lang w:val="es-PE"/>
              </w:rPr>
              <w:t xml:space="preserve"> barreras de contratación pública sostenible en proyectos de infraestructura vial.</w:t>
            </w:r>
          </w:p>
        </w:tc>
        <w:tc>
          <w:tcPr>
            <w:tcW w:w="1417" w:type="dxa"/>
            <w:vAlign w:val="center"/>
            <w:hideMark/>
          </w:tcPr>
          <w:p w14:paraId="32107970"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Cualitativo</w:t>
            </w:r>
            <w:r w:rsidRPr="00155C54">
              <w:rPr>
                <w:rFonts w:ascii="Arial" w:hAnsi="Arial" w:cs="Arial"/>
                <w:sz w:val="18"/>
                <w:szCs w:val="18"/>
                <w:lang w:val="es-PE"/>
              </w:rPr>
              <w:br/>
              <w:t>Comparativo</w:t>
            </w:r>
          </w:p>
        </w:tc>
        <w:tc>
          <w:tcPr>
            <w:tcW w:w="3969" w:type="dxa"/>
            <w:vAlign w:val="center"/>
            <w:hideMark/>
          </w:tcPr>
          <w:p w14:paraId="3D0F9162"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La contratación pública influye en proyectos viales, donde </w:t>
            </w:r>
            <w:r w:rsidR="00717F0C" w:rsidRPr="00155C54">
              <w:rPr>
                <w:rFonts w:ascii="Arial" w:hAnsi="Arial" w:cs="Arial"/>
                <w:sz w:val="18"/>
                <w:szCs w:val="18"/>
                <w:lang w:val="es-ES"/>
              </w:rPr>
              <w:t xml:space="preserve">las </w:t>
            </w:r>
            <w:r w:rsidRPr="00155C54">
              <w:rPr>
                <w:rFonts w:ascii="Arial" w:hAnsi="Arial" w:cs="Arial"/>
                <w:sz w:val="18"/>
                <w:szCs w:val="18"/>
                <w:lang w:val="es-ES"/>
              </w:rPr>
              <w:t xml:space="preserve">asociaciones público-privadas y </w:t>
            </w:r>
            <w:r w:rsidR="00717F0C" w:rsidRPr="00155C54">
              <w:rPr>
                <w:rFonts w:ascii="Arial" w:hAnsi="Arial" w:cs="Arial"/>
                <w:sz w:val="18"/>
                <w:szCs w:val="18"/>
                <w:lang w:val="es-ES"/>
              </w:rPr>
              <w:t xml:space="preserve">la </w:t>
            </w:r>
            <w:r w:rsidRPr="00155C54">
              <w:rPr>
                <w:rFonts w:ascii="Arial" w:hAnsi="Arial" w:cs="Arial"/>
                <w:sz w:val="18"/>
                <w:szCs w:val="18"/>
                <w:lang w:val="es-ES"/>
              </w:rPr>
              <w:t xml:space="preserve">sostenibilidad optimizan </w:t>
            </w:r>
            <w:r w:rsidR="00717F0C" w:rsidRPr="00155C54">
              <w:rPr>
                <w:rFonts w:ascii="Arial" w:hAnsi="Arial" w:cs="Arial"/>
                <w:sz w:val="18"/>
                <w:szCs w:val="18"/>
                <w:lang w:val="es-ES"/>
              </w:rPr>
              <w:t xml:space="preserve">la </w:t>
            </w:r>
            <w:r w:rsidRPr="00155C54">
              <w:rPr>
                <w:rFonts w:ascii="Arial" w:hAnsi="Arial" w:cs="Arial"/>
                <w:sz w:val="18"/>
                <w:szCs w:val="18"/>
                <w:lang w:val="es-ES"/>
              </w:rPr>
              <w:t xml:space="preserve">eficiencia, </w:t>
            </w:r>
            <w:r w:rsidR="00717F0C" w:rsidRPr="00155C54">
              <w:rPr>
                <w:rFonts w:ascii="Arial" w:hAnsi="Arial" w:cs="Arial"/>
                <w:sz w:val="18"/>
                <w:szCs w:val="18"/>
                <w:lang w:val="es-ES"/>
              </w:rPr>
              <w:t xml:space="preserve">el </w:t>
            </w:r>
            <w:r w:rsidRPr="00155C54">
              <w:rPr>
                <w:rFonts w:ascii="Arial" w:hAnsi="Arial" w:cs="Arial"/>
                <w:sz w:val="18"/>
                <w:szCs w:val="18"/>
                <w:lang w:val="es-ES"/>
              </w:rPr>
              <w:t xml:space="preserve">impacto social y </w:t>
            </w:r>
            <w:r w:rsidR="00717F0C" w:rsidRPr="00155C54">
              <w:rPr>
                <w:rFonts w:ascii="Arial" w:hAnsi="Arial" w:cs="Arial"/>
                <w:sz w:val="18"/>
                <w:szCs w:val="18"/>
                <w:lang w:val="es-ES"/>
              </w:rPr>
              <w:t xml:space="preserve">los </w:t>
            </w:r>
            <w:r w:rsidRPr="00155C54">
              <w:rPr>
                <w:rFonts w:ascii="Arial" w:hAnsi="Arial" w:cs="Arial"/>
                <w:sz w:val="18"/>
                <w:szCs w:val="18"/>
                <w:lang w:val="es-ES"/>
              </w:rPr>
              <w:t>resultados estratégicos.</w:t>
            </w:r>
          </w:p>
        </w:tc>
      </w:tr>
      <w:tr w:rsidR="00B62AE9" w:rsidRPr="00155C54" w14:paraId="0374E0DD" w14:textId="77777777" w:rsidTr="00717F0C">
        <w:trPr>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hideMark/>
          </w:tcPr>
          <w:p w14:paraId="281C45D6"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lastRenderedPageBreak/>
              <w:fldChar w:fldCharType="begin" w:fldLock="1"/>
            </w:r>
            <w:r w:rsidRPr="00155C54">
              <w:rPr>
                <w:rFonts w:ascii="Arial" w:hAnsi="Arial" w:cs="Arial"/>
                <w:b w:val="0"/>
                <w:sz w:val="18"/>
                <w:szCs w:val="18"/>
                <w:lang w:val="es-PE"/>
              </w:rPr>
              <w:instrText>ADDIN CSL_CITATION {"citationItems":[{"id":"ITEM-1","itemData":{"DOI":"10.3390/SU13158139","ISSN":"2071-1050","abstract":"Building information modeling (BIM) is an emerging technology that improves visualization, understanding, and transparency in construction projects. Its use in Latin America and the Caribbean (LA&amp;C), while still scarce, is developing in combination with multi-criteria decision-making (MCDM) methods, such as the choosing by advantages (CBA) method. Despite the holistic nature of MCDM methods, the inclusion of life cycle environmental metrics is lagging in construction projects in LA&amp;C. However, recent studies point toward the need to optimize the synergies between BIM and life cycle assessment (LCA), in which a method like CBA could allow improving the quality of the decisions. Therefore, the main objective of this study is to integrate LCA and CBA methods to identify the effect that the inclusion of environmental impacts can have on decision-making in public procurement, as well as comparing how this final decision differs from an exclusively LCA-oriented interpretation of the results. Once the LCA was performed, a set of additional criteria for the CBA method were fixed, including transparency, technical, and social indicators. Thereafter, a stakeholder participative workshop was held in order to gather experts to elucidate on the final decision. The methodology was applied to a relevant construction sector problem modelled with BIM in the city of Lima (Peru), which consisted of three different construction techniques needed to retrofit educational institutions. Results from the LCA-oriented assessment, which was supported by Monte Carlo simulation, revealed a situation in which the masonry-based technique showed significantly lower environmental impacts than the remaining two options. However, when a wider range of technical, social, and transparency criteria are added to the environmental indicators, this low-carbon technique only prevailed in those workshop tables in which environmental experts were present and under specific computational assumptions, whereas teams with a higher proportion of government members were inclined to foster alternatives that imply less bureaucratic barriers. Finally, the results constitute an important milestone when it comes to including environmental factors in public procurement in LA&amp;C.","author":[{"dropping-particle":"","family":"Vázquez-Rowe","given":"Ian","non-dropping-particle":"","parse-names":false,"suffix":""},{"dropping-particle":"","family":"Córdova-Arias","given":"Cristina","non-dropping-particle":"","parse-names":false,"suffix":""},{"dropping-particle":"","family":"Brioso","given":"Xavier","non-dropping-particle":"","parse-names":false,"suffix":""},{"dropping-particle":"","family":"Santa-Cruz","given":"Sandra","non-dropping-particle":"","parse-names":false,"suffix":""}],"container-title":"Sustainability","id":"ITEM-1","issue":"15","issued":{"date-parts":[["2021","7","21"]]},"page":"8139","publisher":"Multidisciplinary Digital Publishing Institute","title":"A Method to Include Life Cycle Assessment Results in Choosing by Advantage (CBA) Multicriteria Decision Analysis. A Case Study for Seismic Retrofit in Peruvian Primary Schools","type":"article-journal","volume":"13"},"uris":["http://www.mendeley.com/documents/?uuid=aa4b276a-d8e9-38c2-a1ea-7b0e471a9fc6"]}],"mendeley":{"formattedCitation":"(Vázquez-Rowe et al., 2021)","manualFormatting":"Vázquez-Rowe et al.\r(2021)","plainTextFormattedCitation":"(Vázquez-Rowe et al., 2021)","previouslyFormattedCitation":"(Vázquez-Rowe et al., 2021)"},"properties":{"noteIndex":0},"schema":"https://github.com/citation-style-language/schema/raw/master/csl-citation.json"}</w:instrText>
            </w:r>
            <w:r w:rsidRPr="00155C54">
              <w:rPr>
                <w:rFonts w:ascii="Arial" w:hAnsi="Arial" w:cs="Arial"/>
                <w:sz w:val="18"/>
                <w:szCs w:val="18"/>
                <w:lang w:val="es-PE"/>
              </w:rPr>
              <w:fldChar w:fldCharType="separate"/>
            </w:r>
            <w:r w:rsidRPr="00155C54">
              <w:rPr>
                <w:rFonts w:ascii="Arial" w:hAnsi="Arial" w:cs="Arial"/>
                <w:b w:val="0"/>
                <w:sz w:val="18"/>
                <w:szCs w:val="18"/>
                <w:lang w:val="es-PE"/>
              </w:rPr>
              <w:t>Vázquez-Rowe et al.</w:t>
            </w:r>
          </w:p>
          <w:p w14:paraId="5FAFF89C"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(2021)</w:t>
            </w:r>
            <w:r w:rsidRPr="00155C54">
              <w:rPr>
                <w:rFonts w:ascii="Arial" w:hAnsi="Arial" w:cs="Arial"/>
                <w:sz w:val="18"/>
                <w:szCs w:val="18"/>
              </w:rPr>
              <w:fldChar w:fldCharType="end"/>
            </w:r>
            <w:r w:rsidRPr="00155C54">
              <w:rPr>
                <w:rFonts w:ascii="Arial" w:hAnsi="Arial" w:cs="Arial"/>
                <w:b w:val="0"/>
                <w:sz w:val="18"/>
                <w:szCs w:val="18"/>
                <w:lang w:val="es-PE"/>
              </w:rPr>
              <w:br/>
              <w:t>Perú</w:t>
            </w:r>
          </w:p>
        </w:tc>
        <w:tc>
          <w:tcPr>
            <w:tcW w:w="2551" w:type="dxa"/>
            <w:vAlign w:val="center"/>
            <w:hideMark/>
          </w:tcPr>
          <w:p w14:paraId="7CE158A7"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 xml:space="preserve">Integrar métodos de evaluación y análisis multicriterio para </w:t>
            </w:r>
            <w:r w:rsidR="00717F0C" w:rsidRPr="00155C54">
              <w:rPr>
                <w:rFonts w:ascii="Arial" w:hAnsi="Arial" w:cs="Arial"/>
                <w:sz w:val="18"/>
                <w:szCs w:val="18"/>
                <w:lang w:val="es-PE"/>
              </w:rPr>
              <w:t xml:space="preserve">la toma de </w:t>
            </w:r>
            <w:r w:rsidRPr="00155C54">
              <w:rPr>
                <w:rFonts w:ascii="Arial" w:hAnsi="Arial" w:cs="Arial"/>
                <w:sz w:val="18"/>
                <w:szCs w:val="18"/>
                <w:lang w:val="es-PE"/>
              </w:rPr>
              <w:t>decisiones en las contrataciones públicas.</w:t>
            </w:r>
          </w:p>
        </w:tc>
        <w:tc>
          <w:tcPr>
            <w:tcW w:w="1417" w:type="dxa"/>
            <w:vAlign w:val="center"/>
            <w:hideMark/>
          </w:tcPr>
          <w:p w14:paraId="6C12F2A8"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r w:rsidRPr="00155C54">
              <w:rPr>
                <w:rFonts w:ascii="Arial" w:hAnsi="Arial" w:cs="Arial"/>
                <w:sz w:val="18"/>
                <w:szCs w:val="18"/>
                <w:lang w:val="es-PE"/>
              </w:rPr>
              <w:br/>
              <w:t>No experimental</w:t>
            </w:r>
          </w:p>
        </w:tc>
        <w:tc>
          <w:tcPr>
            <w:tcW w:w="3969" w:type="dxa"/>
            <w:vAlign w:val="center"/>
            <w:hideMark/>
          </w:tcPr>
          <w:p w14:paraId="2DF3F7C4" w14:textId="77777777" w:rsidR="00B62AE9" w:rsidRPr="00155C54" w:rsidRDefault="00B62AE9" w:rsidP="00B62AE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La contratación pública con indicadores ambientales optimiza la transparencia, sostenibilidad y selección de técnicas para infraestructura resiliente en proyectos.</w:t>
            </w:r>
          </w:p>
        </w:tc>
      </w:tr>
      <w:tr w:rsidR="00B62AE9" w:rsidRPr="00155C54" w14:paraId="74FB8EE1" w14:textId="77777777" w:rsidTr="00717F0C">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35E33CC7"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sz w:val="18"/>
                <w:szCs w:val="18"/>
                <w:lang w:val="es-PE"/>
              </w:rPr>
              <w:fldChar w:fldCharType="begin" w:fldLock="1"/>
            </w:r>
            <w:r w:rsidRPr="00155C54">
              <w:rPr>
                <w:rFonts w:ascii="Arial" w:hAnsi="Arial" w:cs="Arial"/>
                <w:b w:val="0"/>
                <w:sz w:val="18"/>
                <w:szCs w:val="18"/>
                <w:lang w:val="es-PE"/>
              </w:rPr>
              <w:instrText>ADDIN CSL_CITATION {"citationItems":[{"id":"ITEM-1","itemData":{"DOI":"10.3390/buildings13112828","abstract":"The modern civil engineering and construction sector requires collaborative work environments, learning and trust among all parties involved, qualities that are absent in the Peruvian reality. This study, which is based on an extensive literature review, investigates this challenge. The study reflects upon (i) the current situation of public works procurement in Peru and (ii) the New Engineering Contract (NEC), which has recently been implemented in Peruvian Special Public Infrastructure Projects. Comparisons are presented between the characteristics, documentation and roles of these two systems, with the purpose of understanding and representing the advantages, disadvantages and possibilities of integrating the good contractual management practices of the NEC4 Engineering and Construction Contract into the traditional Peruvian State Contracting Law (Ley de Contrataciones del Estado: LCE). The research is validated through the case study of a high-impact road infrastructure project in the city of Arequipa, Peru, which revealed five main deficiencies from Peruvian procurement processes which hinder good contractual management and, also, facilitated an initial assessment of the challenges and improvement opportunities in public infrastructure procurement. Thus, a contribution is made to closing the knowledge gap regarding the implementation of the NEC4 ECC in public sector works.","author":[{"dropping-particle":"","family":"Yabar-Ardiles","given":"Oscar","non-dropping-particle":"","parse-names":false,"suffix":""},{"dropping-particle":"","family":"Sanchez-Carigga","given":"Carlos","non-dropping-particle":"","parse-names":false,"suffix":""},{"dropping-particle":"","family":"Espinoza","given":"Alain Jorge","non-dropping-particle":"","parse-names":false,"suffix":""},{"dropping-particle":"","family":"Guillén","given":"Milagros Socorro","non-dropping-particle":"","parse-names":false,"suffix":""},{"dropping-particle":"","family":"Milón","given":"Andreé Alexis","non-dropping-particle":"","parse-names":false,"suffix":""}],"container-title":"Buildings","id":"ITEM-1","issue":"11","issued":{"date-parts":[["2023"]]},"page":"2828","title":"Seeking the Optimisation of Public Infrastructure Procurement with NEC4 ECC: A Peruvian Case Study","type":"article-journal","volume":"13"},"uris":["http://www.mendeley.com/documents/?uuid=ca6b6c2f-2f01-4a6a-8b61-b4f15c4b0477"]}],"mendeley":{"formattedCitation":"(Yabar-Ardiles et al., 2023)","manualFormatting":"Yabar-Ardiles et al.(2023)","plainTextFormattedCitation":"(Yabar-Ardiles et al., 2023)"},"properties":{"noteIndex":0},"schema":"https://github.com/citation-style-language/schema/raw/master/csl-citation.json"}</w:instrText>
            </w:r>
            <w:r w:rsidRPr="00155C54">
              <w:rPr>
                <w:rFonts w:ascii="Arial" w:hAnsi="Arial" w:cs="Arial"/>
                <w:sz w:val="18"/>
                <w:szCs w:val="18"/>
                <w:lang w:val="es-PE"/>
              </w:rPr>
              <w:fldChar w:fldCharType="separate"/>
            </w:r>
          </w:p>
          <w:p w14:paraId="699F6480"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Yabar-Ardiles et al.</w:t>
            </w:r>
          </w:p>
          <w:p w14:paraId="22DF63E9"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(2023)</w:t>
            </w:r>
            <w:r w:rsidRPr="00155C54">
              <w:rPr>
                <w:rFonts w:ascii="Arial" w:hAnsi="Arial" w:cs="Arial"/>
                <w:sz w:val="18"/>
                <w:szCs w:val="18"/>
              </w:rPr>
              <w:fldChar w:fldCharType="end"/>
            </w:r>
          </w:p>
          <w:p w14:paraId="6F089A36" w14:textId="77777777" w:rsidR="00B62AE9" w:rsidRPr="00155C54" w:rsidRDefault="00B62AE9" w:rsidP="00B62AE9">
            <w:pPr>
              <w:spacing w:after="0" w:line="240" w:lineRule="auto"/>
              <w:jc w:val="center"/>
              <w:rPr>
                <w:rFonts w:ascii="Arial" w:hAnsi="Arial" w:cs="Arial"/>
                <w:b w:val="0"/>
                <w:sz w:val="18"/>
                <w:szCs w:val="18"/>
                <w:lang w:val="es-PE"/>
              </w:rPr>
            </w:pPr>
            <w:r w:rsidRPr="00155C54">
              <w:rPr>
                <w:rFonts w:ascii="Arial" w:hAnsi="Arial" w:cs="Arial"/>
                <w:b w:val="0"/>
                <w:sz w:val="18"/>
                <w:szCs w:val="18"/>
                <w:lang w:val="es-PE"/>
              </w:rPr>
              <w:t>Perú</w:t>
            </w:r>
          </w:p>
        </w:tc>
        <w:tc>
          <w:tcPr>
            <w:tcW w:w="2551" w:type="dxa"/>
            <w:vAlign w:val="center"/>
          </w:tcPr>
          <w:p w14:paraId="38110F24"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 xml:space="preserve">Evaluar </w:t>
            </w:r>
            <w:r w:rsidR="00717F0C" w:rsidRPr="00155C54">
              <w:rPr>
                <w:rFonts w:ascii="Arial" w:hAnsi="Arial" w:cs="Arial"/>
                <w:sz w:val="18"/>
                <w:szCs w:val="18"/>
                <w:lang w:val="es-ES"/>
              </w:rPr>
              <w:t xml:space="preserve">las </w:t>
            </w:r>
            <w:r w:rsidRPr="00155C54">
              <w:rPr>
                <w:rFonts w:ascii="Arial" w:hAnsi="Arial" w:cs="Arial"/>
                <w:sz w:val="18"/>
                <w:szCs w:val="18"/>
                <w:lang w:val="es-ES"/>
              </w:rPr>
              <w:t>deficiencias en contratación de obras públicas y potencial de mejora con NEC4 ECC.</w:t>
            </w:r>
          </w:p>
        </w:tc>
        <w:tc>
          <w:tcPr>
            <w:tcW w:w="1417" w:type="dxa"/>
            <w:vAlign w:val="center"/>
          </w:tcPr>
          <w:p w14:paraId="017EA5EF"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PE"/>
              </w:rPr>
              <w:t>Mixto</w:t>
            </w:r>
          </w:p>
        </w:tc>
        <w:tc>
          <w:tcPr>
            <w:tcW w:w="3969" w:type="dxa"/>
            <w:vAlign w:val="center"/>
          </w:tcPr>
          <w:p w14:paraId="72B06ABB" w14:textId="77777777" w:rsidR="00B62AE9" w:rsidRPr="00155C54" w:rsidRDefault="00B62AE9" w:rsidP="00B62AE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r w:rsidRPr="00155C54">
              <w:rPr>
                <w:rFonts w:ascii="Arial" w:hAnsi="Arial" w:cs="Arial"/>
                <w:sz w:val="18"/>
                <w:szCs w:val="18"/>
                <w:lang w:val="es-ES"/>
              </w:rPr>
              <w:t>Las deficiencias en contratación pública</w:t>
            </w:r>
            <w:r w:rsidR="00717F0C" w:rsidRPr="00155C54">
              <w:rPr>
                <w:rFonts w:ascii="Arial" w:hAnsi="Arial" w:cs="Arial"/>
                <w:sz w:val="18"/>
                <w:szCs w:val="18"/>
                <w:lang w:val="es-ES"/>
              </w:rPr>
              <w:t xml:space="preserve"> generan sobrecostos y retrasos. A</w:t>
            </w:r>
            <w:r w:rsidRPr="00155C54">
              <w:rPr>
                <w:rFonts w:ascii="Arial" w:hAnsi="Arial" w:cs="Arial"/>
                <w:sz w:val="18"/>
                <w:szCs w:val="18"/>
                <w:lang w:val="es-ES"/>
              </w:rPr>
              <w:t xml:space="preserve">doptar el NEC4 mejoraría </w:t>
            </w:r>
            <w:r w:rsidR="00717F0C" w:rsidRPr="00155C54">
              <w:rPr>
                <w:rFonts w:ascii="Arial" w:hAnsi="Arial" w:cs="Arial"/>
                <w:sz w:val="18"/>
                <w:szCs w:val="18"/>
                <w:lang w:val="es-ES"/>
              </w:rPr>
              <w:t xml:space="preserve">la </w:t>
            </w:r>
            <w:r w:rsidRPr="00155C54">
              <w:rPr>
                <w:rFonts w:ascii="Arial" w:hAnsi="Arial" w:cs="Arial"/>
                <w:sz w:val="18"/>
                <w:szCs w:val="18"/>
                <w:lang w:val="es-ES"/>
              </w:rPr>
              <w:t>transparencia, eficiencia e incentivos en proyectos.</w:t>
            </w:r>
          </w:p>
        </w:tc>
      </w:tr>
    </w:tbl>
    <w:p w14:paraId="71A5385C" w14:textId="77777777" w:rsidR="00717F0C" w:rsidRPr="00155C54" w:rsidRDefault="00717F0C" w:rsidP="00B62AE9">
      <w:pPr>
        <w:spacing w:after="0" w:line="240" w:lineRule="auto"/>
        <w:ind w:firstLine="708"/>
        <w:jc w:val="both"/>
        <w:rPr>
          <w:rFonts w:ascii="Arial" w:hAnsi="Arial" w:cs="Arial"/>
          <w:sz w:val="20"/>
          <w:szCs w:val="20"/>
        </w:rPr>
      </w:pPr>
    </w:p>
    <w:p w14:paraId="6A700D8B" w14:textId="77777777" w:rsidR="00717F0C" w:rsidRPr="00155C54" w:rsidRDefault="00717F0C" w:rsidP="00B62AE9">
      <w:pPr>
        <w:spacing w:after="0" w:line="240" w:lineRule="auto"/>
        <w:ind w:firstLine="708"/>
        <w:jc w:val="both"/>
        <w:rPr>
          <w:rFonts w:ascii="Arial" w:hAnsi="Arial" w:cs="Arial"/>
          <w:sz w:val="20"/>
          <w:szCs w:val="20"/>
        </w:rPr>
      </w:pPr>
    </w:p>
    <w:p w14:paraId="67C46B87" w14:textId="77777777" w:rsidR="00B62AE9" w:rsidRPr="00155C54" w:rsidRDefault="001E2D02" w:rsidP="00B62AE9">
      <w:pPr>
        <w:spacing w:after="0" w:line="240" w:lineRule="auto"/>
        <w:ind w:firstLine="708"/>
        <w:jc w:val="both"/>
        <w:rPr>
          <w:rFonts w:ascii="Arial" w:hAnsi="Arial" w:cs="Arial"/>
          <w:sz w:val="20"/>
          <w:szCs w:val="20"/>
          <w:lang w:val="es-ES"/>
        </w:rPr>
      </w:pPr>
      <w:r w:rsidRPr="00155C54">
        <w:rPr>
          <w:rFonts w:ascii="Arial" w:hAnsi="Arial" w:cs="Arial"/>
          <w:sz w:val="20"/>
          <w:szCs w:val="20"/>
          <w:lang w:val="es-ES"/>
        </w:rPr>
        <w:t>Para el análisis</w:t>
      </w:r>
      <w:r w:rsidR="00B62AE9" w:rsidRPr="00155C54">
        <w:rPr>
          <w:rFonts w:ascii="Arial" w:hAnsi="Arial" w:cs="Arial"/>
          <w:sz w:val="20"/>
          <w:szCs w:val="20"/>
          <w:lang w:val="es-ES"/>
        </w:rPr>
        <w:t xml:space="preserve"> se utilizaron 23 artículos</w:t>
      </w:r>
      <w:r w:rsidRPr="00155C54">
        <w:rPr>
          <w:rFonts w:ascii="Arial" w:hAnsi="Arial" w:cs="Arial"/>
          <w:sz w:val="20"/>
          <w:szCs w:val="20"/>
          <w:lang w:val="es-ES"/>
        </w:rPr>
        <w:t>,</w:t>
      </w:r>
      <w:r w:rsidR="00B62AE9" w:rsidRPr="00155C54">
        <w:rPr>
          <w:rFonts w:ascii="Arial" w:hAnsi="Arial" w:cs="Arial"/>
          <w:sz w:val="20"/>
          <w:szCs w:val="20"/>
          <w:lang w:val="es-ES"/>
        </w:rPr>
        <w:t xml:space="preserve"> </w:t>
      </w:r>
      <w:r w:rsidRPr="00155C54">
        <w:rPr>
          <w:rFonts w:ascii="Arial" w:hAnsi="Arial" w:cs="Arial"/>
          <w:sz w:val="20"/>
          <w:szCs w:val="20"/>
          <w:lang w:val="es-ES"/>
        </w:rPr>
        <w:t>los cuales cumplían</w:t>
      </w:r>
      <w:r w:rsidR="00B62AE9" w:rsidRPr="00155C54">
        <w:rPr>
          <w:rFonts w:ascii="Arial" w:hAnsi="Arial" w:cs="Arial"/>
          <w:sz w:val="20"/>
          <w:szCs w:val="20"/>
          <w:lang w:val="es-ES"/>
        </w:rPr>
        <w:t xml:space="preserve"> con los estándares de selección establecidos. De este total, 9 se obtuvieron de </w:t>
      </w:r>
      <w:proofErr w:type="spellStart"/>
      <w:r w:rsidR="00B62AE9" w:rsidRPr="00155C54">
        <w:rPr>
          <w:rFonts w:ascii="Arial" w:hAnsi="Arial" w:cs="Arial"/>
          <w:sz w:val="20"/>
          <w:szCs w:val="20"/>
          <w:lang w:val="es-ES"/>
        </w:rPr>
        <w:t>Scopus</w:t>
      </w:r>
      <w:proofErr w:type="spellEnd"/>
      <w:r w:rsidR="00B62AE9" w:rsidRPr="00155C54">
        <w:rPr>
          <w:rFonts w:ascii="Arial" w:hAnsi="Arial" w:cs="Arial"/>
          <w:sz w:val="20"/>
          <w:szCs w:val="20"/>
          <w:lang w:val="es-ES"/>
        </w:rPr>
        <w:t>, 9 de Web of Science</w:t>
      </w:r>
      <w:r w:rsidR="00251FAF" w:rsidRPr="00155C54">
        <w:rPr>
          <w:rFonts w:ascii="Arial" w:hAnsi="Arial" w:cs="Arial"/>
          <w:sz w:val="20"/>
          <w:szCs w:val="20"/>
          <w:lang w:val="es-ES"/>
        </w:rPr>
        <w:t xml:space="preserve"> y 5 de Scielo; lo que garantizó</w:t>
      </w:r>
      <w:r w:rsidR="00B62AE9" w:rsidRPr="00155C54">
        <w:rPr>
          <w:rFonts w:ascii="Arial" w:hAnsi="Arial" w:cs="Arial"/>
          <w:sz w:val="20"/>
          <w:szCs w:val="20"/>
          <w:lang w:val="es-ES"/>
        </w:rPr>
        <w:t xml:space="preserve"> una selección diversa de fuentes académicas de buena reputación. </w:t>
      </w:r>
      <w:r w:rsidR="00251FAF" w:rsidRPr="00155C54">
        <w:rPr>
          <w:rFonts w:ascii="Arial" w:hAnsi="Arial" w:cs="Arial"/>
          <w:sz w:val="20"/>
          <w:szCs w:val="20"/>
          <w:lang w:val="es-ES"/>
        </w:rPr>
        <w:t>En este sentido, l</w:t>
      </w:r>
      <w:r w:rsidR="00B62AE9" w:rsidRPr="00155C54">
        <w:rPr>
          <w:rFonts w:ascii="Arial" w:hAnsi="Arial" w:cs="Arial"/>
          <w:sz w:val="20"/>
          <w:szCs w:val="20"/>
          <w:lang w:val="es-ES"/>
        </w:rPr>
        <w:t xml:space="preserve">a distribución equitativa entre </w:t>
      </w:r>
      <w:proofErr w:type="spellStart"/>
      <w:r w:rsidR="00B62AE9" w:rsidRPr="00155C54">
        <w:rPr>
          <w:rFonts w:ascii="Arial" w:hAnsi="Arial" w:cs="Arial"/>
          <w:sz w:val="20"/>
          <w:szCs w:val="20"/>
          <w:lang w:val="es-ES"/>
        </w:rPr>
        <w:t>S</w:t>
      </w:r>
      <w:r w:rsidR="00251FAF" w:rsidRPr="00155C54">
        <w:rPr>
          <w:rFonts w:ascii="Arial" w:hAnsi="Arial" w:cs="Arial"/>
          <w:sz w:val="20"/>
          <w:szCs w:val="20"/>
          <w:lang w:val="es-ES"/>
        </w:rPr>
        <w:t>copus</w:t>
      </w:r>
      <w:proofErr w:type="spellEnd"/>
      <w:r w:rsidR="00251FAF" w:rsidRPr="00155C54">
        <w:rPr>
          <w:rFonts w:ascii="Arial" w:hAnsi="Arial" w:cs="Arial"/>
          <w:sz w:val="20"/>
          <w:szCs w:val="20"/>
          <w:lang w:val="es-ES"/>
        </w:rPr>
        <w:t xml:space="preserve"> y Web of Science fortaleció</w:t>
      </w:r>
      <w:r w:rsidR="00B62AE9" w:rsidRPr="00155C54">
        <w:rPr>
          <w:rFonts w:ascii="Arial" w:hAnsi="Arial" w:cs="Arial"/>
          <w:sz w:val="20"/>
          <w:szCs w:val="20"/>
          <w:lang w:val="es-ES"/>
        </w:rPr>
        <w:t xml:space="preserve"> la validez de la revisión, mientras que la inclusión de Scielo </w:t>
      </w:r>
      <w:r w:rsidR="00251FAF" w:rsidRPr="00155C54">
        <w:rPr>
          <w:rFonts w:ascii="Arial" w:hAnsi="Arial" w:cs="Arial"/>
          <w:sz w:val="20"/>
          <w:szCs w:val="20"/>
          <w:lang w:val="es-ES"/>
        </w:rPr>
        <w:t>enriqueció</w:t>
      </w:r>
      <w:r w:rsidR="00B62AE9" w:rsidRPr="00155C54">
        <w:rPr>
          <w:rFonts w:ascii="Arial" w:hAnsi="Arial" w:cs="Arial"/>
          <w:sz w:val="20"/>
          <w:szCs w:val="20"/>
          <w:lang w:val="es-ES"/>
        </w:rPr>
        <w:t xml:space="preserve"> el análisis al proporcionar estudios con un enfoque más específico</w:t>
      </w:r>
      <w:r w:rsidR="00251FAF" w:rsidRPr="00155C54">
        <w:rPr>
          <w:rFonts w:ascii="Arial" w:hAnsi="Arial" w:cs="Arial"/>
          <w:sz w:val="20"/>
          <w:szCs w:val="20"/>
          <w:lang w:val="es-ES"/>
        </w:rPr>
        <w:t xml:space="preserve"> en la realidad latinoamericana, ofreciendo </w:t>
      </w:r>
      <w:r w:rsidR="00B62AE9" w:rsidRPr="00155C54">
        <w:rPr>
          <w:rFonts w:ascii="Arial" w:hAnsi="Arial" w:cs="Arial"/>
          <w:sz w:val="20"/>
          <w:szCs w:val="20"/>
          <w:lang w:val="es-ES"/>
        </w:rPr>
        <w:t xml:space="preserve">un ángulo más amplio del contexto regional. En términos de concentración geográfica, Brasil </w:t>
      </w:r>
      <w:r w:rsidR="00251FAF" w:rsidRPr="00155C54">
        <w:rPr>
          <w:rFonts w:ascii="Arial" w:hAnsi="Arial" w:cs="Arial"/>
          <w:sz w:val="20"/>
          <w:szCs w:val="20"/>
          <w:lang w:val="es-ES"/>
        </w:rPr>
        <w:t>contó con</w:t>
      </w:r>
      <w:r w:rsidR="00B62AE9" w:rsidRPr="00155C54">
        <w:rPr>
          <w:rFonts w:ascii="Arial" w:hAnsi="Arial" w:cs="Arial"/>
          <w:sz w:val="20"/>
          <w:szCs w:val="20"/>
          <w:lang w:val="es-ES"/>
        </w:rPr>
        <w:t xml:space="preserve"> 16 artículos, Perú </w:t>
      </w:r>
      <w:r w:rsidR="00251FAF" w:rsidRPr="00155C54">
        <w:rPr>
          <w:rFonts w:ascii="Arial" w:hAnsi="Arial" w:cs="Arial"/>
          <w:sz w:val="20"/>
          <w:szCs w:val="20"/>
          <w:lang w:val="es-ES"/>
        </w:rPr>
        <w:t xml:space="preserve">con </w:t>
      </w:r>
      <w:r w:rsidR="00B62AE9" w:rsidRPr="00155C54">
        <w:rPr>
          <w:rFonts w:ascii="Arial" w:hAnsi="Arial" w:cs="Arial"/>
          <w:sz w:val="20"/>
          <w:szCs w:val="20"/>
          <w:lang w:val="es-ES"/>
        </w:rPr>
        <w:t xml:space="preserve">2, México 1, Ecuador 1 y Colombia 3. Esta concentración </w:t>
      </w:r>
      <w:r w:rsidR="00251FAF" w:rsidRPr="00155C54">
        <w:rPr>
          <w:rFonts w:ascii="Arial" w:hAnsi="Arial" w:cs="Arial"/>
          <w:sz w:val="20"/>
          <w:szCs w:val="20"/>
          <w:lang w:val="es-ES"/>
        </w:rPr>
        <w:t>indica que</w:t>
      </w:r>
      <w:r w:rsidR="00B62AE9" w:rsidRPr="00155C54">
        <w:rPr>
          <w:rFonts w:ascii="Arial" w:hAnsi="Arial" w:cs="Arial"/>
          <w:sz w:val="20"/>
          <w:szCs w:val="20"/>
          <w:lang w:val="es-ES"/>
        </w:rPr>
        <w:t xml:space="preserve"> Brasil </w:t>
      </w:r>
      <w:r w:rsidR="00251FAF" w:rsidRPr="00155C54">
        <w:rPr>
          <w:rFonts w:ascii="Arial" w:hAnsi="Arial" w:cs="Arial"/>
          <w:sz w:val="20"/>
          <w:szCs w:val="20"/>
          <w:lang w:val="es-ES"/>
        </w:rPr>
        <w:t xml:space="preserve">posee </w:t>
      </w:r>
      <w:r w:rsidR="00B62AE9" w:rsidRPr="00155C54">
        <w:rPr>
          <w:rFonts w:ascii="Arial" w:hAnsi="Arial" w:cs="Arial"/>
          <w:sz w:val="20"/>
          <w:szCs w:val="20"/>
          <w:lang w:val="es-ES"/>
        </w:rPr>
        <w:t>una producción académica más prolífica, debido a la solidez del marco regulatorio del país y la facilidad de acceso a las bases de datos gubernamentales para su análisis.</w:t>
      </w:r>
    </w:p>
    <w:p w14:paraId="755E18AB" w14:textId="77777777" w:rsidR="00251FAF"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En cuanto a la cronología de publicación, se public</w:t>
      </w:r>
      <w:r w:rsidR="00251FAF" w:rsidRPr="00155C54">
        <w:rPr>
          <w:rFonts w:ascii="Arial" w:hAnsi="Arial" w:cs="Arial"/>
          <w:sz w:val="20"/>
          <w:szCs w:val="20"/>
          <w:lang w:val="es-ES"/>
        </w:rPr>
        <w:t>aron</w:t>
      </w:r>
      <w:r w:rsidRPr="00155C54">
        <w:rPr>
          <w:rFonts w:ascii="Arial" w:hAnsi="Arial" w:cs="Arial"/>
          <w:sz w:val="20"/>
          <w:szCs w:val="20"/>
          <w:lang w:val="es-ES"/>
        </w:rPr>
        <w:t xml:space="preserve"> 2 artículo</w:t>
      </w:r>
      <w:r w:rsidR="00251FAF" w:rsidRPr="00155C54">
        <w:rPr>
          <w:rFonts w:ascii="Arial" w:hAnsi="Arial" w:cs="Arial"/>
          <w:sz w:val="20"/>
          <w:szCs w:val="20"/>
          <w:lang w:val="es-ES"/>
        </w:rPr>
        <w:t>s</w:t>
      </w:r>
      <w:r w:rsidRPr="00155C54">
        <w:rPr>
          <w:rFonts w:ascii="Arial" w:hAnsi="Arial" w:cs="Arial"/>
          <w:sz w:val="20"/>
          <w:szCs w:val="20"/>
          <w:lang w:val="es-ES"/>
        </w:rPr>
        <w:t xml:space="preserve"> en 2020, 6 en 2021, 5 en 2022, 6 en 2023 y 4 en 2024. Este patrón señala una creciente atención </w:t>
      </w:r>
      <w:r w:rsidR="00251FAF" w:rsidRPr="00155C54">
        <w:rPr>
          <w:rFonts w:ascii="Arial" w:hAnsi="Arial" w:cs="Arial"/>
          <w:sz w:val="20"/>
          <w:szCs w:val="20"/>
          <w:lang w:val="es-ES"/>
        </w:rPr>
        <w:t>en cuanto a temas relacionados con</w:t>
      </w:r>
      <w:r w:rsidRPr="00155C54">
        <w:rPr>
          <w:rFonts w:ascii="Arial" w:hAnsi="Arial" w:cs="Arial"/>
          <w:sz w:val="20"/>
          <w:szCs w:val="20"/>
          <w:lang w:val="es-ES"/>
        </w:rPr>
        <w:t xml:space="preserve"> la optimización del sistema de compras públicas y su eficiencia para los proyectos gubernamentales</w:t>
      </w:r>
      <w:r w:rsidR="00251FAF" w:rsidRPr="00155C54">
        <w:rPr>
          <w:rFonts w:ascii="Arial" w:hAnsi="Arial" w:cs="Arial"/>
          <w:sz w:val="20"/>
          <w:szCs w:val="20"/>
          <w:lang w:val="es-ES"/>
        </w:rPr>
        <w:t>. Esto</w:t>
      </w:r>
      <w:r w:rsidRPr="00155C54">
        <w:rPr>
          <w:rFonts w:ascii="Arial" w:hAnsi="Arial" w:cs="Arial"/>
          <w:sz w:val="20"/>
          <w:szCs w:val="20"/>
          <w:lang w:val="es-ES"/>
        </w:rPr>
        <w:t xml:space="preserve"> debido</w:t>
      </w:r>
      <w:r w:rsidR="00251FAF" w:rsidRPr="00155C54">
        <w:rPr>
          <w:rFonts w:ascii="Arial" w:hAnsi="Arial" w:cs="Arial"/>
          <w:sz w:val="20"/>
          <w:szCs w:val="20"/>
          <w:lang w:val="es-ES"/>
        </w:rPr>
        <w:t>, principalmente,</w:t>
      </w:r>
      <w:r w:rsidRPr="00155C54">
        <w:rPr>
          <w:rFonts w:ascii="Arial" w:hAnsi="Arial" w:cs="Arial"/>
          <w:sz w:val="20"/>
          <w:szCs w:val="20"/>
          <w:lang w:val="es-ES"/>
        </w:rPr>
        <w:t xml:space="preserve"> a los cambios regulatorios y algunos cambios en el uso de la tecnología dentro de la gestión pública. </w:t>
      </w:r>
    </w:p>
    <w:p w14:paraId="35E55746" w14:textId="77777777" w:rsidR="00251FAF" w:rsidRPr="00155C54" w:rsidRDefault="00251FAF" w:rsidP="00251FAF">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Con respecto</w:t>
      </w:r>
      <w:r w:rsidR="00B62AE9" w:rsidRPr="00155C54">
        <w:rPr>
          <w:rFonts w:ascii="Arial" w:hAnsi="Arial" w:cs="Arial"/>
          <w:sz w:val="20"/>
          <w:szCs w:val="20"/>
          <w:lang w:val="es-ES"/>
        </w:rPr>
        <w:t xml:space="preserve"> a la metodología, 11 estudios </w:t>
      </w:r>
      <w:r w:rsidRPr="00155C54">
        <w:rPr>
          <w:rFonts w:ascii="Arial" w:hAnsi="Arial" w:cs="Arial"/>
          <w:sz w:val="20"/>
          <w:szCs w:val="20"/>
          <w:lang w:val="es-ES"/>
        </w:rPr>
        <w:t>aplicaron</w:t>
      </w:r>
      <w:r w:rsidR="00B62AE9" w:rsidRPr="00155C54">
        <w:rPr>
          <w:rFonts w:ascii="Arial" w:hAnsi="Arial" w:cs="Arial"/>
          <w:sz w:val="20"/>
          <w:szCs w:val="20"/>
          <w:lang w:val="es-ES"/>
        </w:rPr>
        <w:t xml:space="preserve"> método</w:t>
      </w:r>
      <w:r w:rsidRPr="00155C54">
        <w:rPr>
          <w:rFonts w:ascii="Arial" w:hAnsi="Arial" w:cs="Arial"/>
          <w:sz w:val="20"/>
          <w:szCs w:val="20"/>
          <w:lang w:val="es-ES"/>
        </w:rPr>
        <w:t>s</w:t>
      </w:r>
      <w:r w:rsidR="00B62AE9" w:rsidRPr="00155C54">
        <w:rPr>
          <w:rFonts w:ascii="Arial" w:hAnsi="Arial" w:cs="Arial"/>
          <w:sz w:val="20"/>
          <w:szCs w:val="20"/>
          <w:lang w:val="es-ES"/>
        </w:rPr>
        <w:t xml:space="preserve"> mixto</w:t>
      </w:r>
      <w:r w:rsidRPr="00155C54">
        <w:rPr>
          <w:rFonts w:ascii="Arial" w:hAnsi="Arial" w:cs="Arial"/>
          <w:sz w:val="20"/>
          <w:szCs w:val="20"/>
          <w:lang w:val="es-ES"/>
        </w:rPr>
        <w:t>s</w:t>
      </w:r>
      <w:r w:rsidR="00B62AE9" w:rsidRPr="00155C54">
        <w:rPr>
          <w:rFonts w:ascii="Arial" w:hAnsi="Arial" w:cs="Arial"/>
          <w:sz w:val="20"/>
          <w:szCs w:val="20"/>
          <w:lang w:val="es-ES"/>
        </w:rPr>
        <w:t>, 7 fueron cualitativo</w:t>
      </w:r>
      <w:r w:rsidRPr="00155C54">
        <w:rPr>
          <w:rFonts w:ascii="Arial" w:hAnsi="Arial" w:cs="Arial"/>
          <w:sz w:val="20"/>
          <w:szCs w:val="20"/>
          <w:lang w:val="es-ES"/>
        </w:rPr>
        <w:t>s</w:t>
      </w:r>
      <w:r w:rsidR="00B62AE9" w:rsidRPr="00155C54">
        <w:rPr>
          <w:rFonts w:ascii="Arial" w:hAnsi="Arial" w:cs="Arial"/>
          <w:sz w:val="20"/>
          <w:szCs w:val="20"/>
          <w:lang w:val="es-ES"/>
        </w:rPr>
        <w:t xml:space="preserve"> y 5 fueron cuantitativo</w:t>
      </w:r>
      <w:r w:rsidRPr="00155C54">
        <w:rPr>
          <w:rFonts w:ascii="Arial" w:hAnsi="Arial" w:cs="Arial"/>
          <w:sz w:val="20"/>
          <w:szCs w:val="20"/>
          <w:lang w:val="es-ES"/>
        </w:rPr>
        <w:t>s</w:t>
      </w:r>
      <w:r w:rsidR="00B62AE9" w:rsidRPr="00155C54">
        <w:rPr>
          <w:rFonts w:ascii="Arial" w:hAnsi="Arial" w:cs="Arial"/>
          <w:sz w:val="20"/>
          <w:szCs w:val="20"/>
          <w:lang w:val="es-ES"/>
        </w:rPr>
        <w:t xml:space="preserve">. La prevalencia de estudios </w:t>
      </w:r>
      <w:r w:rsidRPr="00155C54">
        <w:rPr>
          <w:rFonts w:ascii="Arial" w:hAnsi="Arial" w:cs="Arial"/>
          <w:sz w:val="20"/>
          <w:szCs w:val="20"/>
          <w:lang w:val="es-ES"/>
        </w:rPr>
        <w:t>con</w:t>
      </w:r>
      <w:r w:rsidR="00B62AE9" w:rsidRPr="00155C54">
        <w:rPr>
          <w:rFonts w:ascii="Arial" w:hAnsi="Arial" w:cs="Arial"/>
          <w:sz w:val="20"/>
          <w:szCs w:val="20"/>
          <w:lang w:val="es-ES"/>
        </w:rPr>
        <w:t xml:space="preserve"> método</w:t>
      </w:r>
      <w:r w:rsidRPr="00155C54">
        <w:rPr>
          <w:rFonts w:ascii="Arial" w:hAnsi="Arial" w:cs="Arial"/>
          <w:sz w:val="20"/>
          <w:szCs w:val="20"/>
          <w:lang w:val="es-ES"/>
        </w:rPr>
        <w:t>s</w:t>
      </w:r>
      <w:r w:rsidR="00B62AE9" w:rsidRPr="00155C54">
        <w:rPr>
          <w:rFonts w:ascii="Arial" w:hAnsi="Arial" w:cs="Arial"/>
          <w:sz w:val="20"/>
          <w:szCs w:val="20"/>
          <w:lang w:val="es-ES"/>
        </w:rPr>
        <w:t xml:space="preserve"> mixto</w:t>
      </w:r>
      <w:r w:rsidRPr="00155C54">
        <w:rPr>
          <w:rFonts w:ascii="Arial" w:hAnsi="Arial" w:cs="Arial"/>
          <w:sz w:val="20"/>
          <w:szCs w:val="20"/>
          <w:lang w:val="es-ES"/>
        </w:rPr>
        <w:t>s</w:t>
      </w:r>
      <w:r w:rsidR="00B62AE9" w:rsidRPr="00155C54">
        <w:rPr>
          <w:rFonts w:ascii="Arial" w:hAnsi="Arial" w:cs="Arial"/>
          <w:sz w:val="20"/>
          <w:szCs w:val="20"/>
          <w:lang w:val="es-ES"/>
        </w:rPr>
        <w:t xml:space="preserve"> indica un enfoque integral en la investigac</w:t>
      </w:r>
      <w:r w:rsidRPr="00155C54">
        <w:rPr>
          <w:rFonts w:ascii="Arial" w:hAnsi="Arial" w:cs="Arial"/>
          <w:sz w:val="20"/>
          <w:szCs w:val="20"/>
          <w:lang w:val="es-ES"/>
        </w:rPr>
        <w:t>ión sobre contratación pública. La combinación de métodos</w:t>
      </w:r>
      <w:r w:rsidR="00B62AE9" w:rsidRPr="00155C54">
        <w:rPr>
          <w:rFonts w:ascii="Arial" w:hAnsi="Arial" w:cs="Arial"/>
          <w:sz w:val="20"/>
          <w:szCs w:val="20"/>
          <w:lang w:val="es-ES"/>
        </w:rPr>
        <w:t xml:space="preserve"> cualitativos y cuantitativos </w:t>
      </w:r>
      <w:r w:rsidRPr="00155C54">
        <w:rPr>
          <w:rFonts w:ascii="Arial" w:hAnsi="Arial" w:cs="Arial"/>
          <w:sz w:val="20"/>
          <w:szCs w:val="20"/>
          <w:lang w:val="es-ES"/>
        </w:rPr>
        <w:t>permite una</w:t>
      </w:r>
      <w:r w:rsidR="00B62AE9" w:rsidRPr="00155C54">
        <w:rPr>
          <w:rFonts w:ascii="Arial" w:hAnsi="Arial" w:cs="Arial"/>
          <w:sz w:val="20"/>
          <w:szCs w:val="20"/>
          <w:lang w:val="es-ES"/>
        </w:rPr>
        <w:t xml:space="preserve"> mayor profundidad</w:t>
      </w:r>
      <w:r w:rsidRPr="00155C54">
        <w:rPr>
          <w:rFonts w:ascii="Arial" w:hAnsi="Arial" w:cs="Arial"/>
          <w:sz w:val="20"/>
          <w:szCs w:val="20"/>
          <w:lang w:val="es-ES"/>
        </w:rPr>
        <w:t xml:space="preserve"> en los estudios realizados</w:t>
      </w:r>
      <w:r w:rsidR="00B62AE9" w:rsidRPr="00155C54">
        <w:rPr>
          <w:rFonts w:ascii="Arial" w:hAnsi="Arial" w:cs="Arial"/>
          <w:sz w:val="20"/>
          <w:szCs w:val="20"/>
          <w:lang w:val="es-ES"/>
        </w:rPr>
        <w:t xml:space="preserve">. </w:t>
      </w:r>
      <w:r w:rsidRPr="00155C54">
        <w:rPr>
          <w:rFonts w:ascii="Arial" w:hAnsi="Arial" w:cs="Arial"/>
          <w:sz w:val="20"/>
          <w:szCs w:val="20"/>
          <w:lang w:val="es-ES"/>
        </w:rPr>
        <w:t>Por su parte, la baja proporción de estudios exclusivamente cuantitativos indica que hay limitaciones en la disponibilidad de datos estructurados o que los enfoques interpretativos son más comunes.</w:t>
      </w:r>
    </w:p>
    <w:p w14:paraId="3A51FBB6" w14:textId="77777777" w:rsidR="00B62AE9" w:rsidRPr="00155C54" w:rsidRDefault="0098308C" w:rsidP="00251FAF">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A todo esto, e</w:t>
      </w:r>
      <w:r w:rsidR="00B62AE9" w:rsidRPr="00155C54">
        <w:rPr>
          <w:rFonts w:ascii="Arial" w:hAnsi="Arial" w:cs="Arial"/>
          <w:sz w:val="20"/>
          <w:szCs w:val="20"/>
          <w:lang w:val="es-ES"/>
        </w:rPr>
        <w:t xml:space="preserve">l análisis de las contrataciones públicas en la gestión de proyectos en </w:t>
      </w:r>
      <w:r w:rsidRPr="00155C54">
        <w:rPr>
          <w:rFonts w:ascii="Arial" w:hAnsi="Arial" w:cs="Arial"/>
          <w:sz w:val="20"/>
          <w:szCs w:val="20"/>
          <w:lang w:val="es-ES"/>
        </w:rPr>
        <w:t>Latinoamérica</w:t>
      </w:r>
      <w:r w:rsidR="00B62AE9" w:rsidRPr="00155C54">
        <w:rPr>
          <w:rFonts w:ascii="Arial" w:hAnsi="Arial" w:cs="Arial"/>
          <w:sz w:val="20"/>
          <w:szCs w:val="20"/>
          <w:lang w:val="es-ES"/>
        </w:rPr>
        <w:t xml:space="preserve"> ha revelado un impacto importante. En cuanto a la infraestructura, Ponce &amp; Loor (2020), junto con </w:t>
      </w:r>
      <w:proofErr w:type="spellStart"/>
      <w:r w:rsidR="00B62AE9" w:rsidRPr="00155C54">
        <w:rPr>
          <w:rFonts w:ascii="Arial" w:hAnsi="Arial" w:cs="Arial"/>
          <w:sz w:val="20"/>
          <w:szCs w:val="20"/>
          <w:lang w:val="es-ES"/>
        </w:rPr>
        <w:t>Yabar</w:t>
      </w:r>
      <w:proofErr w:type="spellEnd"/>
      <w:r w:rsidR="00B62AE9" w:rsidRPr="00155C54">
        <w:rPr>
          <w:rFonts w:ascii="Arial" w:hAnsi="Arial" w:cs="Arial"/>
          <w:sz w:val="20"/>
          <w:szCs w:val="20"/>
          <w:lang w:val="es-ES"/>
        </w:rPr>
        <w:t xml:space="preserve">-Ardiles et al. (2023), argumentan que la competencia deficiente, las brechas de planificación y el aumento de costos constituyen importantes barreras para la implementación de proyectos. Además, De Castro et al. (2022) sugieren que un control deficiente de los contratos </w:t>
      </w:r>
      <w:r w:rsidRPr="00155C54">
        <w:rPr>
          <w:rFonts w:ascii="Arial" w:hAnsi="Arial" w:cs="Arial"/>
          <w:sz w:val="20"/>
          <w:szCs w:val="20"/>
          <w:lang w:val="es-ES"/>
        </w:rPr>
        <w:t>causa</w:t>
      </w:r>
      <w:r w:rsidR="00B62AE9" w:rsidRPr="00155C54">
        <w:rPr>
          <w:rFonts w:ascii="Arial" w:hAnsi="Arial" w:cs="Arial"/>
          <w:sz w:val="20"/>
          <w:szCs w:val="20"/>
          <w:lang w:val="es-ES"/>
        </w:rPr>
        <w:t xml:space="preserve"> retrasos significativos en la implementación de determinados proyectos estratégicos, poniéndolos en peligro. Pereira et al. (2022) y Salvador &amp; De São Pedro (2023) sugieren que la elección de los proveedores </w:t>
      </w:r>
      <w:r w:rsidRPr="00155C54">
        <w:rPr>
          <w:rFonts w:ascii="Arial" w:hAnsi="Arial" w:cs="Arial"/>
          <w:sz w:val="20"/>
          <w:szCs w:val="20"/>
          <w:lang w:val="es-ES"/>
        </w:rPr>
        <w:t>no debe ser evaluada solamente por el precio,</w:t>
      </w:r>
      <w:r w:rsidR="00B62AE9" w:rsidRPr="00155C54">
        <w:rPr>
          <w:rFonts w:ascii="Arial" w:hAnsi="Arial" w:cs="Arial"/>
          <w:sz w:val="20"/>
          <w:szCs w:val="20"/>
          <w:lang w:val="es-ES"/>
        </w:rPr>
        <w:t xml:space="preserve"> </w:t>
      </w:r>
      <w:r w:rsidRPr="00155C54">
        <w:rPr>
          <w:rFonts w:ascii="Arial" w:hAnsi="Arial" w:cs="Arial"/>
          <w:sz w:val="20"/>
          <w:szCs w:val="20"/>
          <w:lang w:val="es-ES"/>
        </w:rPr>
        <w:t>ya que</w:t>
      </w:r>
      <w:r w:rsidR="00B62AE9" w:rsidRPr="00155C54">
        <w:rPr>
          <w:rFonts w:ascii="Arial" w:hAnsi="Arial" w:cs="Arial"/>
          <w:sz w:val="20"/>
          <w:szCs w:val="20"/>
          <w:lang w:val="es-ES"/>
        </w:rPr>
        <w:t xml:space="preserve"> la calidad y el cumplimiento de los plazos </w:t>
      </w:r>
      <w:r w:rsidRPr="00155C54">
        <w:rPr>
          <w:rFonts w:ascii="Arial" w:hAnsi="Arial" w:cs="Arial"/>
          <w:sz w:val="20"/>
          <w:szCs w:val="20"/>
          <w:lang w:val="es-ES"/>
        </w:rPr>
        <w:t>también</w:t>
      </w:r>
      <w:r w:rsidR="00B62AE9" w:rsidRPr="00155C54">
        <w:rPr>
          <w:rFonts w:ascii="Arial" w:hAnsi="Arial" w:cs="Arial"/>
          <w:sz w:val="20"/>
          <w:szCs w:val="20"/>
          <w:lang w:val="es-ES"/>
        </w:rPr>
        <w:t xml:space="preserve"> deben </w:t>
      </w:r>
      <w:r w:rsidRPr="00155C54">
        <w:rPr>
          <w:rFonts w:ascii="Arial" w:hAnsi="Arial" w:cs="Arial"/>
          <w:sz w:val="20"/>
          <w:szCs w:val="20"/>
          <w:lang w:val="es-ES"/>
        </w:rPr>
        <w:t>ser prioritarios</w:t>
      </w:r>
      <w:r w:rsidR="00B62AE9" w:rsidRPr="00155C54">
        <w:rPr>
          <w:rFonts w:ascii="Arial" w:hAnsi="Arial" w:cs="Arial"/>
          <w:sz w:val="20"/>
          <w:szCs w:val="20"/>
          <w:lang w:val="es-ES"/>
        </w:rPr>
        <w:t>. Además, la falta de modelos predictivos para la mitigación de riesgos en la contratación pública</w:t>
      </w:r>
      <w:r w:rsidRPr="00155C54">
        <w:rPr>
          <w:rFonts w:ascii="Arial" w:hAnsi="Arial" w:cs="Arial"/>
          <w:sz w:val="20"/>
          <w:szCs w:val="20"/>
          <w:lang w:val="es-ES"/>
        </w:rPr>
        <w:t>,</w:t>
      </w:r>
      <w:r w:rsidR="00B62AE9" w:rsidRPr="00155C54">
        <w:rPr>
          <w:rFonts w:ascii="Arial" w:hAnsi="Arial" w:cs="Arial"/>
          <w:sz w:val="20"/>
          <w:szCs w:val="20"/>
          <w:lang w:val="es-ES"/>
        </w:rPr>
        <w:t xml:space="preserve"> también ha sido </w:t>
      </w:r>
      <w:r w:rsidRPr="00155C54">
        <w:rPr>
          <w:rFonts w:ascii="Arial" w:hAnsi="Arial" w:cs="Arial"/>
          <w:sz w:val="20"/>
          <w:szCs w:val="20"/>
          <w:lang w:val="es-ES"/>
        </w:rPr>
        <w:t>nombrada</w:t>
      </w:r>
      <w:r w:rsidR="00B62AE9" w:rsidRPr="00155C54">
        <w:rPr>
          <w:rFonts w:ascii="Arial" w:hAnsi="Arial" w:cs="Arial"/>
          <w:sz w:val="20"/>
          <w:szCs w:val="20"/>
          <w:lang w:val="es-ES"/>
        </w:rPr>
        <w:t xml:space="preserve"> como una debilidad inherente en la planificación y ejecución de proyectos (</w:t>
      </w:r>
      <w:proofErr w:type="spellStart"/>
      <w:r w:rsidR="00B62AE9" w:rsidRPr="00155C54">
        <w:rPr>
          <w:rFonts w:ascii="Arial" w:hAnsi="Arial" w:cs="Arial"/>
          <w:sz w:val="20"/>
          <w:szCs w:val="20"/>
          <w:lang w:val="es-ES"/>
        </w:rPr>
        <w:t>Chioro</w:t>
      </w:r>
      <w:proofErr w:type="spellEnd"/>
      <w:r w:rsidR="00B62AE9" w:rsidRPr="00155C54">
        <w:rPr>
          <w:rFonts w:ascii="Arial" w:hAnsi="Arial" w:cs="Arial"/>
          <w:sz w:val="20"/>
          <w:szCs w:val="20"/>
          <w:lang w:val="es-ES"/>
        </w:rPr>
        <w:t xml:space="preserve"> et al., 2021; Cortez et al., 2020; Gonçalves &amp; Borges, 2024).</w:t>
      </w:r>
    </w:p>
    <w:p w14:paraId="76324271" w14:textId="77777777" w:rsidR="00B62AE9" w:rsidRPr="00155C54" w:rsidRDefault="00B62AE9"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 xml:space="preserve">En cuanto a la sostenibilidad, los estudios sugieren que la incorporación de medidas ambientales en la contratación pública es la opción más acertada a largo plazo (Vázquez-Rowe et al., 2021; </w:t>
      </w:r>
      <w:proofErr w:type="spellStart"/>
      <w:r w:rsidRPr="00155C54">
        <w:rPr>
          <w:rFonts w:ascii="Arial" w:hAnsi="Arial" w:cs="Arial"/>
          <w:sz w:val="20"/>
          <w:szCs w:val="20"/>
          <w:lang w:val="es-ES"/>
        </w:rPr>
        <w:t>Cavalcante</w:t>
      </w:r>
      <w:proofErr w:type="spellEnd"/>
      <w:r w:rsidRPr="00155C54">
        <w:rPr>
          <w:rFonts w:ascii="Arial" w:hAnsi="Arial" w:cs="Arial"/>
          <w:sz w:val="20"/>
          <w:szCs w:val="20"/>
          <w:lang w:val="es-ES"/>
        </w:rPr>
        <w:t xml:space="preserve"> et al., 2023). No obstante, existen ámbitos sociales y ambientales específicos que están excluidos y que deberían incluirse, ya que se pone en peligro la sostenibilidad de los proyectos de obras públicas (Treviño-Lozano, 2021; Hernández et al., 2023). Esta evidencia subraya la necesidad de diseñar políticas orientadas a lograr un equilibrio adecuado entre las consecuencias negativas y positivas en la gestión de los proyectos gubernamentales.</w:t>
      </w:r>
    </w:p>
    <w:p w14:paraId="012BD447" w14:textId="77777777" w:rsidR="00B62AE9" w:rsidRPr="00155C54" w:rsidRDefault="0098308C"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Respecto</w:t>
      </w:r>
      <w:r w:rsidR="00B62AE9" w:rsidRPr="00155C54">
        <w:rPr>
          <w:rFonts w:ascii="Arial" w:hAnsi="Arial" w:cs="Arial"/>
          <w:sz w:val="20"/>
          <w:szCs w:val="20"/>
          <w:lang w:val="es-ES"/>
        </w:rPr>
        <w:t xml:space="preserve"> a la innovación, se ha demostrado que la automatización y la digitalización mejoran la eficacia en la administración de contratos públicos (Maia et al., 2021; De Oliveira et al., 2022). A</w:t>
      </w:r>
      <w:r w:rsidRPr="00155C54">
        <w:rPr>
          <w:rFonts w:ascii="Arial" w:hAnsi="Arial" w:cs="Arial"/>
          <w:sz w:val="20"/>
          <w:szCs w:val="20"/>
          <w:lang w:val="es-ES"/>
        </w:rPr>
        <w:t>simismo</w:t>
      </w:r>
      <w:r w:rsidR="00B62AE9" w:rsidRPr="00155C54">
        <w:rPr>
          <w:rFonts w:ascii="Arial" w:hAnsi="Arial" w:cs="Arial"/>
          <w:sz w:val="20"/>
          <w:szCs w:val="20"/>
          <w:lang w:val="es-ES"/>
        </w:rPr>
        <w:t>, la supervisión de proyectos y la eficacia de las decisiones de gestión estratégica se ven mejoradas por la tecnología (</w:t>
      </w:r>
      <w:proofErr w:type="spellStart"/>
      <w:r w:rsidR="00B62AE9" w:rsidRPr="00155C54">
        <w:rPr>
          <w:rFonts w:ascii="Arial" w:hAnsi="Arial" w:cs="Arial"/>
          <w:sz w:val="20"/>
          <w:szCs w:val="20"/>
          <w:lang w:val="es-ES"/>
        </w:rPr>
        <w:t>Melati</w:t>
      </w:r>
      <w:proofErr w:type="spellEnd"/>
      <w:r w:rsidR="00B62AE9" w:rsidRPr="00155C54">
        <w:rPr>
          <w:rFonts w:ascii="Arial" w:hAnsi="Arial" w:cs="Arial"/>
          <w:sz w:val="20"/>
          <w:szCs w:val="20"/>
          <w:lang w:val="es-ES"/>
        </w:rPr>
        <w:t xml:space="preserve"> et al., 2021). </w:t>
      </w:r>
      <w:r w:rsidRPr="00155C54">
        <w:rPr>
          <w:rFonts w:ascii="Arial" w:hAnsi="Arial" w:cs="Arial"/>
          <w:sz w:val="20"/>
          <w:szCs w:val="20"/>
          <w:lang w:val="es-ES"/>
        </w:rPr>
        <w:t>En este sentido</w:t>
      </w:r>
      <w:r w:rsidR="00B62AE9" w:rsidRPr="00155C54">
        <w:rPr>
          <w:rFonts w:ascii="Arial" w:hAnsi="Arial" w:cs="Arial"/>
          <w:sz w:val="20"/>
          <w:szCs w:val="20"/>
          <w:lang w:val="es-ES"/>
        </w:rPr>
        <w:t xml:space="preserve">, </w:t>
      </w:r>
      <w:proofErr w:type="spellStart"/>
      <w:r w:rsidR="00B62AE9" w:rsidRPr="00155C54">
        <w:rPr>
          <w:rFonts w:ascii="Arial" w:hAnsi="Arial" w:cs="Arial"/>
          <w:sz w:val="20"/>
          <w:szCs w:val="20"/>
          <w:lang w:val="es-ES"/>
        </w:rPr>
        <w:t>Assis</w:t>
      </w:r>
      <w:proofErr w:type="spellEnd"/>
      <w:r w:rsidR="00B62AE9" w:rsidRPr="00155C54">
        <w:rPr>
          <w:rFonts w:ascii="Arial" w:hAnsi="Arial" w:cs="Arial"/>
          <w:sz w:val="20"/>
          <w:szCs w:val="20"/>
          <w:lang w:val="es-ES"/>
        </w:rPr>
        <w:t xml:space="preserve"> et al. (2022) y </w:t>
      </w:r>
      <w:proofErr w:type="spellStart"/>
      <w:r w:rsidR="00B62AE9" w:rsidRPr="00155C54">
        <w:rPr>
          <w:rFonts w:ascii="Arial" w:hAnsi="Arial" w:cs="Arial"/>
          <w:sz w:val="20"/>
          <w:szCs w:val="20"/>
          <w:lang w:val="es-ES"/>
        </w:rPr>
        <w:t>Takagi</w:t>
      </w:r>
      <w:proofErr w:type="spellEnd"/>
      <w:r w:rsidR="00B62AE9" w:rsidRPr="00155C54">
        <w:rPr>
          <w:rFonts w:ascii="Arial" w:hAnsi="Arial" w:cs="Arial"/>
          <w:sz w:val="20"/>
          <w:szCs w:val="20"/>
          <w:lang w:val="es-ES"/>
        </w:rPr>
        <w:t xml:space="preserve"> et al. (2024) destacan que el empleo de sistemas de inteligencia artificial en la contratación pública permite una adecuada predicción de riesgos y la asignación de recursos, lo que aumenta la eficiencia operativa y el control presupuestario estatal.</w:t>
      </w:r>
    </w:p>
    <w:p w14:paraId="097B5893" w14:textId="77777777" w:rsidR="00B62AE9" w:rsidRPr="00155C54" w:rsidRDefault="0098308C" w:rsidP="00B62AE9">
      <w:pPr>
        <w:spacing w:after="0" w:line="240" w:lineRule="auto"/>
        <w:ind w:firstLine="709"/>
        <w:jc w:val="both"/>
        <w:rPr>
          <w:rFonts w:ascii="Arial" w:hAnsi="Arial" w:cs="Arial"/>
          <w:sz w:val="20"/>
          <w:szCs w:val="20"/>
          <w:lang w:val="es-ES"/>
        </w:rPr>
      </w:pPr>
      <w:r w:rsidRPr="00155C54">
        <w:rPr>
          <w:rFonts w:ascii="Arial" w:hAnsi="Arial" w:cs="Arial"/>
          <w:sz w:val="20"/>
          <w:szCs w:val="20"/>
          <w:lang w:val="es-ES"/>
        </w:rPr>
        <w:t xml:space="preserve">En relación con </w:t>
      </w:r>
      <w:r w:rsidR="00B62AE9" w:rsidRPr="00155C54">
        <w:rPr>
          <w:rFonts w:ascii="Arial" w:hAnsi="Arial" w:cs="Arial"/>
          <w:sz w:val="20"/>
          <w:szCs w:val="20"/>
          <w:lang w:val="es-ES"/>
        </w:rPr>
        <w:t xml:space="preserve">la transparencia, se </w:t>
      </w:r>
      <w:r w:rsidRPr="00155C54">
        <w:rPr>
          <w:rFonts w:ascii="Arial" w:hAnsi="Arial" w:cs="Arial"/>
          <w:sz w:val="20"/>
          <w:szCs w:val="20"/>
          <w:lang w:val="es-ES"/>
        </w:rPr>
        <w:t>evidenció</w:t>
      </w:r>
      <w:r w:rsidR="00B62AE9" w:rsidRPr="00155C54">
        <w:rPr>
          <w:rFonts w:ascii="Arial" w:hAnsi="Arial" w:cs="Arial"/>
          <w:sz w:val="20"/>
          <w:szCs w:val="20"/>
          <w:lang w:val="es-ES"/>
        </w:rPr>
        <w:t xml:space="preserve"> que la competencia en la adjudicación de contratos se vincula con un menor riesgo de corrupción (Gutiérrez, 2020; Ribeiro et al., 2023). No obstante, en Colombia existe la figura de los contratos de licitación directa, que reduce la competencia y aumenta la posibilidad de conductas </w:t>
      </w:r>
      <w:r w:rsidR="00B62AE9" w:rsidRPr="00155C54">
        <w:rPr>
          <w:rFonts w:ascii="Arial" w:hAnsi="Arial" w:cs="Arial"/>
          <w:sz w:val="20"/>
          <w:szCs w:val="20"/>
          <w:lang w:val="es-ES"/>
        </w:rPr>
        <w:lastRenderedPageBreak/>
        <w:t>poco éticas (Gallego et al., 2021). Además, durante ciertas crisis, el grado de transparencia disminuye, lo que dificulta la supervisión y el control de las funciones de contratación pública (</w:t>
      </w:r>
      <w:proofErr w:type="spellStart"/>
      <w:r w:rsidR="00B62AE9" w:rsidRPr="00155C54">
        <w:rPr>
          <w:rFonts w:ascii="Arial" w:hAnsi="Arial" w:cs="Arial"/>
          <w:sz w:val="20"/>
          <w:szCs w:val="20"/>
          <w:lang w:val="es-ES"/>
        </w:rPr>
        <w:t>Precinotto</w:t>
      </w:r>
      <w:proofErr w:type="spellEnd"/>
      <w:r w:rsidR="00B62AE9" w:rsidRPr="00155C54">
        <w:rPr>
          <w:rFonts w:ascii="Arial" w:hAnsi="Arial" w:cs="Arial"/>
          <w:sz w:val="20"/>
          <w:szCs w:val="20"/>
          <w:lang w:val="es-ES"/>
        </w:rPr>
        <w:t xml:space="preserve"> et al., 2023; Da Costa et al., 2024). Por ello, existe la necesidad de </w:t>
      </w:r>
      <w:r w:rsidRPr="00155C54">
        <w:rPr>
          <w:rFonts w:ascii="Arial" w:hAnsi="Arial" w:cs="Arial"/>
          <w:sz w:val="20"/>
          <w:szCs w:val="20"/>
          <w:lang w:val="es-ES"/>
        </w:rPr>
        <w:t xml:space="preserve">desarrollar </w:t>
      </w:r>
      <w:r w:rsidR="00B62AE9" w:rsidRPr="00155C54">
        <w:rPr>
          <w:rFonts w:ascii="Arial" w:hAnsi="Arial" w:cs="Arial"/>
          <w:sz w:val="20"/>
          <w:szCs w:val="20"/>
          <w:lang w:val="es-ES"/>
        </w:rPr>
        <w:t>políticas orientadas a mejorar los procesos de contratación pública en la región.</w:t>
      </w:r>
    </w:p>
    <w:p w14:paraId="5C01BC65" w14:textId="77777777" w:rsidR="00683E7D" w:rsidRPr="00155C54" w:rsidRDefault="00683E7D" w:rsidP="00E271E2">
      <w:pPr>
        <w:spacing w:after="0" w:line="240" w:lineRule="auto"/>
        <w:ind w:firstLine="709"/>
        <w:jc w:val="both"/>
        <w:rPr>
          <w:rFonts w:ascii="Arial" w:hAnsi="Arial" w:cs="Arial"/>
          <w:sz w:val="20"/>
          <w:szCs w:val="20"/>
        </w:rPr>
      </w:pPr>
    </w:p>
    <w:p w14:paraId="49A54E7D" w14:textId="77777777" w:rsidR="00683E7D" w:rsidRPr="00155C54" w:rsidRDefault="00683E7D" w:rsidP="00E271E2">
      <w:pPr>
        <w:spacing w:after="0" w:line="240" w:lineRule="auto"/>
        <w:jc w:val="both"/>
        <w:rPr>
          <w:rFonts w:ascii="Arial" w:hAnsi="Arial" w:cs="Arial"/>
          <w:b/>
          <w:bCs/>
        </w:rPr>
      </w:pPr>
      <w:r w:rsidRPr="00155C54">
        <w:rPr>
          <w:rFonts w:ascii="Arial" w:hAnsi="Arial" w:cs="Arial"/>
          <w:b/>
          <w:bCs/>
        </w:rPr>
        <w:t>Conclusiones</w:t>
      </w:r>
    </w:p>
    <w:p w14:paraId="65C0E0D5" w14:textId="77777777" w:rsidR="00D50C4E" w:rsidRPr="00155C54" w:rsidRDefault="00B62AE9" w:rsidP="00D50C4E">
      <w:pPr>
        <w:spacing w:after="0" w:line="240" w:lineRule="auto"/>
        <w:ind w:firstLine="709"/>
        <w:jc w:val="both"/>
        <w:rPr>
          <w:rFonts w:ascii="Arial" w:hAnsi="Arial" w:cs="Arial"/>
          <w:sz w:val="20"/>
          <w:szCs w:val="20"/>
        </w:rPr>
      </w:pPr>
      <w:r w:rsidRPr="00155C54">
        <w:rPr>
          <w:rFonts w:ascii="Arial" w:hAnsi="Arial" w:cs="Arial"/>
          <w:sz w:val="20"/>
          <w:szCs w:val="20"/>
        </w:rPr>
        <w:t xml:space="preserve">Se concluye que la contratación pública influye de manera positiva en la gestión de proyectos, mejorando su eficiencia, sostenibilidad, transparencia e innovación. </w:t>
      </w:r>
      <w:r w:rsidR="00994001" w:rsidRPr="00155C54">
        <w:rPr>
          <w:rFonts w:ascii="Arial" w:hAnsi="Arial" w:cs="Arial"/>
          <w:sz w:val="20"/>
          <w:szCs w:val="20"/>
        </w:rPr>
        <w:t>Sin</w:t>
      </w:r>
      <w:r w:rsidRPr="00155C54">
        <w:rPr>
          <w:rFonts w:ascii="Arial" w:hAnsi="Arial" w:cs="Arial"/>
          <w:sz w:val="20"/>
          <w:szCs w:val="20"/>
        </w:rPr>
        <w:t xml:space="preserve"> embargo, </w:t>
      </w:r>
      <w:r w:rsidR="00994001" w:rsidRPr="00155C54">
        <w:rPr>
          <w:rFonts w:ascii="Arial" w:hAnsi="Arial" w:cs="Arial"/>
          <w:sz w:val="20"/>
          <w:szCs w:val="20"/>
        </w:rPr>
        <w:t>se observó una gestión estratégica deficiente en la competencia durante las licitaciones, junto con una falta de control adecuado, lo que puede generar altos costos y retrasos.</w:t>
      </w:r>
      <w:r w:rsidRPr="00155C54">
        <w:rPr>
          <w:rFonts w:ascii="Arial" w:hAnsi="Arial" w:cs="Arial"/>
          <w:sz w:val="20"/>
          <w:szCs w:val="20"/>
        </w:rPr>
        <w:t xml:space="preserve"> Además, si bien algunos países han incluido criterios ambientales en algunas de sus políticas, su adopción aún es parcial, por lo que la sostenibilidad no ha experi</w:t>
      </w:r>
      <w:r w:rsidR="00D50C4E" w:rsidRPr="00155C54">
        <w:rPr>
          <w:rFonts w:ascii="Arial" w:hAnsi="Arial" w:cs="Arial"/>
          <w:sz w:val="20"/>
          <w:szCs w:val="20"/>
        </w:rPr>
        <w:t>mentado cambios significativos.</w:t>
      </w:r>
    </w:p>
    <w:p w14:paraId="337E39E6" w14:textId="77777777" w:rsidR="00D50C4E" w:rsidRPr="00155C54" w:rsidRDefault="00D50C4E" w:rsidP="00D50C4E">
      <w:pPr>
        <w:spacing w:after="0" w:line="240" w:lineRule="auto"/>
        <w:ind w:firstLine="709"/>
        <w:jc w:val="both"/>
        <w:rPr>
          <w:rFonts w:ascii="Arial" w:hAnsi="Arial" w:cs="Arial"/>
          <w:sz w:val="20"/>
          <w:szCs w:val="20"/>
        </w:rPr>
      </w:pPr>
      <w:r w:rsidRPr="00155C54">
        <w:rPr>
          <w:rFonts w:ascii="Arial" w:hAnsi="Arial" w:cs="Arial"/>
          <w:sz w:val="20"/>
          <w:szCs w:val="20"/>
        </w:rPr>
        <w:t>También se evidenció que la estandarización de procesos y la adopción de tecnologías modernas mejoran significativamente la eficiencia en la contratación pública, aunque en algunas áreas aún se encuentran en etapas iniciales. Por otro lado, la concentración de ofertas en un pequeño grupo de oferentes, combinada con un monitoreo inadecuado, genera una percepción negativa de transparencia y aumenta el riesgo de corrupción, al mismo tiempo que reduce la competitividad en los procesos de licitación.</w:t>
      </w:r>
    </w:p>
    <w:p w14:paraId="0C800353" w14:textId="77777777" w:rsidR="00E271E2" w:rsidRPr="00155C54" w:rsidRDefault="00D50C4E" w:rsidP="00D50C4E">
      <w:pPr>
        <w:spacing w:after="0" w:line="240" w:lineRule="auto"/>
        <w:ind w:firstLine="709"/>
        <w:jc w:val="both"/>
        <w:rPr>
          <w:rFonts w:ascii="Arial" w:hAnsi="Arial" w:cs="Arial"/>
          <w:sz w:val="20"/>
          <w:szCs w:val="20"/>
        </w:rPr>
      </w:pPr>
      <w:r w:rsidRPr="00155C54">
        <w:rPr>
          <w:rFonts w:ascii="Arial" w:hAnsi="Arial" w:cs="Arial"/>
          <w:sz w:val="20"/>
          <w:szCs w:val="20"/>
        </w:rPr>
        <w:t>A todo esto, el estudio subraya la necesidad de mejorar los marcos legales y las políticas de contratación para lograr una gestión de proyectos más efectiva en la región. Para alcanzar este objetivo, se recomienda integrar tecnologías digitales avanzadas con requisitos más estrictos para la evaluación de proveedores y el diseño de proyectos, lo que permitiría una contratación pública más eficiente y justa. Finalmente, es esencial prestar mayor atención a los estudios comparativos entre países y al impacto de la digitalización en la supervisión y gestión de los contratos públicos.</w:t>
      </w:r>
    </w:p>
    <w:p w14:paraId="260C47AB" w14:textId="77777777" w:rsidR="00B62AE9" w:rsidRPr="00155C54" w:rsidRDefault="00B62AE9" w:rsidP="00B62AE9">
      <w:pPr>
        <w:spacing w:after="0" w:line="240" w:lineRule="auto"/>
        <w:jc w:val="both"/>
        <w:rPr>
          <w:rFonts w:ascii="Arial" w:hAnsi="Arial" w:cs="Arial"/>
          <w:sz w:val="20"/>
          <w:szCs w:val="20"/>
        </w:rPr>
      </w:pPr>
    </w:p>
    <w:p w14:paraId="40262DA8" w14:textId="77777777" w:rsidR="00B62AE9" w:rsidRPr="00155C54" w:rsidRDefault="00683E7D" w:rsidP="00B62AE9">
      <w:pPr>
        <w:spacing w:after="0" w:line="240" w:lineRule="auto"/>
        <w:jc w:val="both"/>
        <w:rPr>
          <w:rFonts w:ascii="Arial" w:hAnsi="Arial" w:cs="Arial"/>
          <w:b/>
          <w:bCs/>
        </w:rPr>
      </w:pPr>
      <w:r w:rsidRPr="00155C54">
        <w:rPr>
          <w:rFonts w:ascii="Arial" w:hAnsi="Arial" w:cs="Arial"/>
          <w:b/>
          <w:bCs/>
        </w:rPr>
        <w:t>Referencias</w:t>
      </w:r>
      <w:r w:rsidR="00B62AE9" w:rsidRPr="00155C54">
        <w:rPr>
          <w:rFonts w:ascii="Arial" w:hAnsi="Arial" w:cs="Arial"/>
          <w:b/>
          <w:bCs/>
          <w:sz w:val="20"/>
          <w:szCs w:val="20"/>
          <w:lang w:val="en-US"/>
        </w:rPr>
        <w:fldChar w:fldCharType="begin" w:fldLock="1"/>
      </w:r>
      <w:r w:rsidR="00B62AE9" w:rsidRPr="00155C54">
        <w:rPr>
          <w:rFonts w:ascii="Arial" w:hAnsi="Arial" w:cs="Arial"/>
          <w:b/>
          <w:bCs/>
          <w:sz w:val="20"/>
          <w:szCs w:val="20"/>
          <w:lang w:val="pt-BR"/>
        </w:rPr>
        <w:instrText xml:space="preserve">ADDIN Mendeley Bibliography CSL_BIBLIOGRAPHY </w:instrText>
      </w:r>
      <w:r w:rsidR="00B62AE9" w:rsidRPr="00155C54">
        <w:rPr>
          <w:rFonts w:ascii="Arial" w:hAnsi="Arial" w:cs="Arial"/>
          <w:b/>
          <w:bCs/>
          <w:sz w:val="20"/>
          <w:szCs w:val="20"/>
          <w:lang w:val="en-US"/>
        </w:rPr>
        <w:fldChar w:fldCharType="separate"/>
      </w:r>
    </w:p>
    <w:p w14:paraId="13B26B43" w14:textId="77777777" w:rsidR="00D50C4E" w:rsidRPr="00155C54" w:rsidRDefault="00B62AE9" w:rsidP="00D50C4E">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fldChar w:fldCharType="begin" w:fldLock="1"/>
      </w:r>
      <w:r w:rsidRPr="00155C54">
        <w:rPr>
          <w:rFonts w:ascii="Arial" w:hAnsi="Arial" w:cs="Arial"/>
          <w:sz w:val="20"/>
          <w:szCs w:val="20"/>
          <w:lang w:val="es-ES"/>
        </w:rPr>
        <w:instrText xml:space="preserve">ADDIN Mendeley Bibliography CSL_BIBLIOGRAPHY </w:instrText>
      </w:r>
      <w:r w:rsidRPr="00155C54">
        <w:rPr>
          <w:rFonts w:ascii="Arial" w:hAnsi="Arial" w:cs="Arial"/>
          <w:sz w:val="20"/>
          <w:szCs w:val="20"/>
          <w:lang w:val="es-ES"/>
        </w:rPr>
        <w:fldChar w:fldCharType="separate"/>
      </w:r>
      <w:r w:rsidRPr="00155C54">
        <w:rPr>
          <w:rFonts w:ascii="Arial" w:hAnsi="Arial" w:cs="Arial"/>
          <w:sz w:val="20"/>
          <w:szCs w:val="20"/>
          <w:lang w:val="es-ES"/>
        </w:rPr>
        <w:t xml:space="preserve">Arefazar, Y., Nazari, A., Hafezi, M. R., &amp; Maghool, S. A. (2022). Prioritizing agile project management strategies as a change management tool in construction projects. </w:t>
      </w:r>
      <w:r w:rsidRPr="00155C54">
        <w:rPr>
          <w:rFonts w:ascii="Arial" w:hAnsi="Arial" w:cs="Arial"/>
          <w:i/>
          <w:iCs/>
          <w:sz w:val="20"/>
          <w:szCs w:val="20"/>
          <w:lang w:val="es-ES"/>
        </w:rPr>
        <w:t>International Journal of Construction Management</w:t>
      </w:r>
      <w:r w:rsidRPr="00155C54">
        <w:rPr>
          <w:rFonts w:ascii="Arial" w:hAnsi="Arial" w:cs="Arial"/>
          <w:sz w:val="20"/>
          <w:szCs w:val="20"/>
          <w:lang w:val="es-ES"/>
        </w:rPr>
        <w:t xml:space="preserve">, </w:t>
      </w:r>
      <w:r w:rsidRPr="00155C54">
        <w:rPr>
          <w:rFonts w:ascii="Arial" w:hAnsi="Arial" w:cs="Arial"/>
          <w:i/>
          <w:iCs/>
          <w:sz w:val="20"/>
          <w:szCs w:val="20"/>
          <w:lang w:val="es-ES"/>
        </w:rPr>
        <w:t>22</w:t>
      </w:r>
      <w:r w:rsidRPr="00155C54">
        <w:rPr>
          <w:rFonts w:ascii="Arial" w:hAnsi="Arial" w:cs="Arial"/>
          <w:sz w:val="20"/>
          <w:szCs w:val="20"/>
          <w:lang w:val="es-ES"/>
        </w:rPr>
        <w:t>(4), 678–689. https://doi.or</w:t>
      </w:r>
      <w:r w:rsidR="00D50C4E" w:rsidRPr="00155C54">
        <w:rPr>
          <w:rFonts w:ascii="Arial" w:hAnsi="Arial" w:cs="Arial"/>
          <w:sz w:val="20"/>
          <w:szCs w:val="20"/>
          <w:lang w:val="es-ES"/>
        </w:rPr>
        <w:t>g/10.1080/15623599.2019.1644757</w:t>
      </w:r>
    </w:p>
    <w:p w14:paraId="3EC9AC07" w14:textId="77777777" w:rsidR="00B62AE9" w:rsidRPr="00155C54" w:rsidRDefault="00B62AE9" w:rsidP="00D50C4E">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Ascanio, M. (2020). Principios de la contratación publica en el ámbito del acuerdo de libre comercio entre Chile y Colombia. </w:t>
      </w:r>
      <w:r w:rsidRPr="00155C54">
        <w:rPr>
          <w:rFonts w:ascii="Arial" w:hAnsi="Arial" w:cs="Arial"/>
          <w:i/>
          <w:iCs/>
          <w:sz w:val="20"/>
          <w:szCs w:val="20"/>
          <w:lang w:val="es-ES"/>
        </w:rPr>
        <w:t>Revista Digital de Derecho Administrativo</w:t>
      </w:r>
      <w:r w:rsidRPr="00155C54">
        <w:rPr>
          <w:rFonts w:ascii="Arial" w:hAnsi="Arial" w:cs="Arial"/>
          <w:sz w:val="20"/>
          <w:szCs w:val="20"/>
          <w:lang w:val="es-ES"/>
        </w:rPr>
        <w:t xml:space="preserve">, </w:t>
      </w:r>
      <w:r w:rsidRPr="00155C54">
        <w:rPr>
          <w:rFonts w:ascii="Arial" w:hAnsi="Arial" w:cs="Arial"/>
          <w:i/>
          <w:iCs/>
          <w:sz w:val="20"/>
          <w:szCs w:val="20"/>
          <w:lang w:val="es-ES"/>
        </w:rPr>
        <w:t>25</w:t>
      </w:r>
      <w:r w:rsidRPr="00155C54">
        <w:rPr>
          <w:rFonts w:ascii="Arial" w:hAnsi="Arial" w:cs="Arial"/>
          <w:sz w:val="20"/>
          <w:szCs w:val="20"/>
          <w:lang w:val="es-ES"/>
        </w:rPr>
        <w:t>, 337–369.</w:t>
      </w:r>
    </w:p>
    <w:p w14:paraId="59D9555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Assis, A. C. V., Silva, R. I., Gomes, L. F. A. M., &amp; Gonçalves, E. D. L. (2022). Port capacity expansion under real options approach: a case study in Brazil. </w:t>
      </w:r>
      <w:r w:rsidRPr="00155C54">
        <w:rPr>
          <w:rFonts w:ascii="Arial" w:hAnsi="Arial" w:cs="Arial"/>
          <w:i/>
          <w:iCs/>
          <w:sz w:val="20"/>
          <w:szCs w:val="20"/>
          <w:lang w:val="es-ES"/>
        </w:rPr>
        <w:t>Independent Journal of Management &amp; Production</w:t>
      </w:r>
      <w:r w:rsidRPr="00155C54">
        <w:rPr>
          <w:rFonts w:ascii="Arial" w:hAnsi="Arial" w:cs="Arial"/>
          <w:sz w:val="20"/>
          <w:szCs w:val="20"/>
          <w:lang w:val="es-ES"/>
        </w:rPr>
        <w:t xml:space="preserve">, </w:t>
      </w:r>
      <w:r w:rsidRPr="00155C54">
        <w:rPr>
          <w:rFonts w:ascii="Arial" w:hAnsi="Arial" w:cs="Arial"/>
          <w:i/>
          <w:iCs/>
          <w:sz w:val="20"/>
          <w:szCs w:val="20"/>
          <w:lang w:val="es-ES"/>
        </w:rPr>
        <w:t>13</w:t>
      </w:r>
      <w:r w:rsidRPr="00155C54">
        <w:rPr>
          <w:rFonts w:ascii="Arial" w:hAnsi="Arial" w:cs="Arial"/>
          <w:sz w:val="20"/>
          <w:szCs w:val="20"/>
          <w:lang w:val="es-ES"/>
        </w:rPr>
        <w:t>(1), 234–257. https://doi.org/10.14807/ijmp.v13i1.1476</w:t>
      </w:r>
    </w:p>
    <w:p w14:paraId="01ABF1C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Bhatta, J. P., &amp; Sain, M. (2023). </w:t>
      </w:r>
      <w:r w:rsidR="00D50C4E" w:rsidRPr="00155C54">
        <w:rPr>
          <w:rFonts w:ascii="Arial" w:hAnsi="Arial" w:cs="Arial"/>
          <w:sz w:val="20"/>
          <w:szCs w:val="20"/>
          <w:lang w:val="es-ES"/>
        </w:rPr>
        <w:t>Public procurement and project management at transitional context : analysis of single source contracting practices</w:t>
      </w:r>
      <w:r w:rsidRPr="00155C54">
        <w:rPr>
          <w:rFonts w:ascii="Arial" w:hAnsi="Arial" w:cs="Arial"/>
          <w:sz w:val="20"/>
          <w:szCs w:val="20"/>
          <w:lang w:val="es-ES"/>
        </w:rPr>
        <w:t xml:space="preserve">. </w:t>
      </w:r>
      <w:r w:rsidRPr="00155C54">
        <w:rPr>
          <w:rFonts w:ascii="Arial" w:hAnsi="Arial" w:cs="Arial"/>
          <w:i/>
          <w:iCs/>
          <w:sz w:val="20"/>
          <w:szCs w:val="20"/>
          <w:lang w:val="es-ES"/>
        </w:rPr>
        <w:t>A Bi-Annual South Asian Journal of Research &amp; Innovation</w:t>
      </w:r>
      <w:r w:rsidRPr="00155C54">
        <w:rPr>
          <w:rFonts w:ascii="Arial" w:hAnsi="Arial" w:cs="Arial"/>
          <w:sz w:val="20"/>
          <w:szCs w:val="20"/>
          <w:lang w:val="es-ES"/>
        </w:rPr>
        <w:t xml:space="preserve">, </w:t>
      </w:r>
      <w:r w:rsidRPr="00155C54">
        <w:rPr>
          <w:rFonts w:ascii="Arial" w:hAnsi="Arial" w:cs="Arial"/>
          <w:i/>
          <w:iCs/>
          <w:sz w:val="20"/>
          <w:szCs w:val="20"/>
          <w:lang w:val="es-ES"/>
        </w:rPr>
        <w:t>10</w:t>
      </w:r>
      <w:r w:rsidRPr="00155C54">
        <w:rPr>
          <w:rFonts w:ascii="Arial" w:hAnsi="Arial" w:cs="Arial"/>
          <w:sz w:val="20"/>
          <w:szCs w:val="20"/>
          <w:lang w:val="es-ES"/>
        </w:rPr>
        <w:t>(1), 9–18. https://doi.org/10.3126/JORI.V10I1.66024</w:t>
      </w:r>
    </w:p>
    <w:p w14:paraId="3C672CD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Carloni, E., Polinori, P., &amp; David, D. (2021). </w:t>
      </w:r>
      <w:r w:rsidR="00D50C4E" w:rsidRPr="00155C54">
        <w:rPr>
          <w:rFonts w:ascii="Arial" w:hAnsi="Arial" w:cs="Arial"/>
          <w:sz w:val="20"/>
          <w:szCs w:val="20"/>
          <w:lang w:val="es-ES"/>
        </w:rPr>
        <w:t>Public procurement and corruption: perspectives, rules, experiences</w:t>
      </w:r>
      <w:r w:rsidRPr="00155C54">
        <w:rPr>
          <w:rFonts w:ascii="Arial" w:hAnsi="Arial" w:cs="Arial"/>
          <w:sz w:val="20"/>
          <w:szCs w:val="20"/>
          <w:lang w:val="es-ES"/>
        </w:rPr>
        <w:t xml:space="preserve">. </w:t>
      </w:r>
      <w:r w:rsidRPr="00155C54">
        <w:rPr>
          <w:rFonts w:ascii="Arial" w:hAnsi="Arial" w:cs="Arial"/>
          <w:i/>
          <w:iCs/>
          <w:sz w:val="20"/>
          <w:szCs w:val="20"/>
          <w:lang w:val="es-ES"/>
        </w:rPr>
        <w:t>Understanding and Fighting Corruption in Europe: From Repression to Prevention</w:t>
      </w:r>
      <w:r w:rsidRPr="00155C54">
        <w:rPr>
          <w:rFonts w:ascii="Arial" w:hAnsi="Arial" w:cs="Arial"/>
          <w:sz w:val="20"/>
          <w:szCs w:val="20"/>
          <w:lang w:val="es-ES"/>
        </w:rPr>
        <w:t>, 127–149. https://doi.org/10.1007/978-3-030-82495-2_7</w:t>
      </w:r>
    </w:p>
    <w:p w14:paraId="5D30343C"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Cavalcante, B. R., Bulhões, E., &amp; Pinho, A. C. (2023). Budget performance and governance in infrastructure project management: the case of Brazilian inland waterway transport. </w:t>
      </w:r>
      <w:r w:rsidRPr="00155C54">
        <w:rPr>
          <w:rFonts w:ascii="Arial" w:hAnsi="Arial" w:cs="Arial"/>
          <w:i/>
          <w:iCs/>
          <w:sz w:val="20"/>
          <w:szCs w:val="20"/>
          <w:lang w:val="es-ES"/>
        </w:rPr>
        <w:t>Cadernos EBAPE.BR</w:t>
      </w:r>
      <w:r w:rsidRPr="00155C54">
        <w:rPr>
          <w:rFonts w:ascii="Arial" w:hAnsi="Arial" w:cs="Arial"/>
          <w:sz w:val="20"/>
          <w:szCs w:val="20"/>
          <w:lang w:val="es-ES"/>
        </w:rPr>
        <w:t xml:space="preserve">, </w:t>
      </w:r>
      <w:r w:rsidRPr="00155C54">
        <w:rPr>
          <w:rFonts w:ascii="Arial" w:hAnsi="Arial" w:cs="Arial"/>
          <w:i/>
          <w:iCs/>
          <w:sz w:val="20"/>
          <w:szCs w:val="20"/>
          <w:lang w:val="es-ES"/>
        </w:rPr>
        <w:t>21</w:t>
      </w:r>
      <w:r w:rsidRPr="00155C54">
        <w:rPr>
          <w:rFonts w:ascii="Arial" w:hAnsi="Arial" w:cs="Arial"/>
          <w:sz w:val="20"/>
          <w:szCs w:val="20"/>
          <w:lang w:val="es-ES"/>
        </w:rPr>
        <w:t>(5), e2021-0135. https://doi.org/10.1590/1679-395120210135X</w:t>
      </w:r>
    </w:p>
    <w:p w14:paraId="1D50C381"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Chamorro, G. E., Pérez, D. D., &amp; Serrano, M. F. (2022). Rol del interventor en la gestión de proyectos de infraestructura pública: estudio de caso del Valle del Cauca, Colombia. </w:t>
      </w:r>
      <w:r w:rsidRPr="00155C54">
        <w:rPr>
          <w:rFonts w:ascii="Arial" w:hAnsi="Arial" w:cs="Arial"/>
          <w:i/>
          <w:iCs/>
          <w:sz w:val="20"/>
          <w:szCs w:val="20"/>
          <w:lang w:val="es-ES"/>
        </w:rPr>
        <w:t>Ciencia Ergo Sum</w:t>
      </w:r>
      <w:r w:rsidRPr="00155C54">
        <w:rPr>
          <w:rFonts w:ascii="Arial" w:hAnsi="Arial" w:cs="Arial"/>
          <w:sz w:val="20"/>
          <w:szCs w:val="20"/>
          <w:lang w:val="es-ES"/>
        </w:rPr>
        <w:t xml:space="preserve">, </w:t>
      </w:r>
      <w:r w:rsidRPr="00155C54">
        <w:rPr>
          <w:rFonts w:ascii="Arial" w:hAnsi="Arial" w:cs="Arial"/>
          <w:i/>
          <w:iCs/>
          <w:sz w:val="20"/>
          <w:szCs w:val="20"/>
          <w:lang w:val="es-ES"/>
        </w:rPr>
        <w:t>29</w:t>
      </w:r>
      <w:r w:rsidRPr="00155C54">
        <w:rPr>
          <w:rFonts w:ascii="Arial" w:hAnsi="Arial" w:cs="Arial"/>
          <w:sz w:val="20"/>
          <w:szCs w:val="20"/>
          <w:lang w:val="es-ES"/>
        </w:rPr>
        <w:t>(1), e145. https://doi.org/10.30878/CES.V29N1A1</w:t>
      </w:r>
    </w:p>
    <w:p w14:paraId="3E69004F"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Chioro, A., Andreazza, R., Castro Furtado, L. A., de Araújo, E. C., Nasser, M. A., &amp; Cecílio, L. C. de O. (2021). A política de contratualização dos hospitais de ensino: o que mudou na prática? </w:t>
      </w:r>
      <w:r w:rsidRPr="00155C54">
        <w:rPr>
          <w:rFonts w:ascii="Arial" w:hAnsi="Arial" w:cs="Arial"/>
          <w:i/>
          <w:iCs/>
          <w:sz w:val="20"/>
          <w:szCs w:val="20"/>
          <w:lang w:val="es-ES"/>
        </w:rPr>
        <w:t>Ciência &amp; Saúde Coletiva</w:t>
      </w:r>
      <w:r w:rsidRPr="00155C54">
        <w:rPr>
          <w:rFonts w:ascii="Arial" w:hAnsi="Arial" w:cs="Arial"/>
          <w:sz w:val="20"/>
          <w:szCs w:val="20"/>
          <w:lang w:val="es-ES"/>
        </w:rPr>
        <w:t xml:space="preserve">, </w:t>
      </w:r>
      <w:r w:rsidRPr="00155C54">
        <w:rPr>
          <w:rFonts w:ascii="Arial" w:hAnsi="Arial" w:cs="Arial"/>
          <w:i/>
          <w:iCs/>
          <w:sz w:val="20"/>
          <w:szCs w:val="20"/>
          <w:lang w:val="es-ES"/>
        </w:rPr>
        <w:t>26</w:t>
      </w:r>
      <w:r w:rsidRPr="00155C54">
        <w:rPr>
          <w:rFonts w:ascii="Arial" w:hAnsi="Arial" w:cs="Arial"/>
          <w:sz w:val="20"/>
          <w:szCs w:val="20"/>
          <w:lang w:val="es-ES"/>
        </w:rPr>
        <w:t>(11), 5691–5700. https://doi.org/10.1590/1413-812320212611.30512020</w:t>
      </w:r>
    </w:p>
    <w:p w14:paraId="5D3DA55F"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Cortez, E., Oliveira, T., &amp; Morais, A. (2020). Desenvolvimento de um framework para o planejamento de compras públicas: estudo em uma Universidade Federal. </w:t>
      </w:r>
      <w:r w:rsidRPr="00155C54">
        <w:rPr>
          <w:rFonts w:ascii="Arial" w:hAnsi="Arial" w:cs="Arial"/>
          <w:i/>
          <w:iCs/>
          <w:sz w:val="20"/>
          <w:szCs w:val="20"/>
          <w:lang w:val="es-ES"/>
        </w:rPr>
        <w:t>Revista de Gestão e Projetos</w:t>
      </w:r>
      <w:r w:rsidRPr="00155C54">
        <w:rPr>
          <w:rFonts w:ascii="Arial" w:hAnsi="Arial" w:cs="Arial"/>
          <w:sz w:val="20"/>
          <w:szCs w:val="20"/>
          <w:lang w:val="es-ES"/>
        </w:rPr>
        <w:t xml:space="preserve">, </w:t>
      </w:r>
      <w:r w:rsidRPr="00155C54">
        <w:rPr>
          <w:rFonts w:ascii="Arial" w:hAnsi="Arial" w:cs="Arial"/>
          <w:i/>
          <w:iCs/>
          <w:sz w:val="20"/>
          <w:szCs w:val="20"/>
          <w:lang w:val="es-ES"/>
        </w:rPr>
        <w:t>11</w:t>
      </w:r>
      <w:r w:rsidRPr="00155C54">
        <w:rPr>
          <w:rFonts w:ascii="Arial" w:hAnsi="Arial" w:cs="Arial"/>
          <w:sz w:val="20"/>
          <w:szCs w:val="20"/>
          <w:lang w:val="es-ES"/>
        </w:rPr>
        <w:t>(3), 94–116. https://doi.org/10.5585/gep.v11i3.18475</w:t>
      </w:r>
    </w:p>
    <w:p w14:paraId="20FE2314"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Cruz, M. A., Morales, A., &amp; Cortez, R. (2024). El necesario y urgente «golpe de timón» de la gestión pública en el Perú. </w:t>
      </w:r>
      <w:r w:rsidRPr="00155C54">
        <w:rPr>
          <w:rFonts w:ascii="Arial" w:hAnsi="Arial" w:cs="Arial"/>
          <w:i/>
          <w:iCs/>
          <w:sz w:val="20"/>
          <w:szCs w:val="20"/>
          <w:lang w:val="es-ES"/>
        </w:rPr>
        <w:t>Apuntes</w:t>
      </w:r>
      <w:r w:rsidRPr="00155C54">
        <w:rPr>
          <w:rFonts w:ascii="Arial" w:hAnsi="Arial" w:cs="Arial"/>
          <w:sz w:val="20"/>
          <w:szCs w:val="20"/>
          <w:lang w:val="es-ES"/>
        </w:rPr>
        <w:t xml:space="preserve">, </w:t>
      </w:r>
      <w:r w:rsidRPr="00155C54">
        <w:rPr>
          <w:rFonts w:ascii="Arial" w:hAnsi="Arial" w:cs="Arial"/>
          <w:i/>
          <w:iCs/>
          <w:sz w:val="20"/>
          <w:szCs w:val="20"/>
          <w:lang w:val="es-ES"/>
        </w:rPr>
        <w:t>51</w:t>
      </w:r>
      <w:r w:rsidRPr="00155C54">
        <w:rPr>
          <w:rFonts w:ascii="Arial" w:hAnsi="Arial" w:cs="Arial"/>
          <w:sz w:val="20"/>
          <w:szCs w:val="20"/>
          <w:lang w:val="es-ES"/>
        </w:rPr>
        <w:t>(96), 37–65. https://doi.org/10.21678/APUNTES.96.1913</w:t>
      </w:r>
    </w:p>
    <w:p w14:paraId="50946984"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Da Costa, A. V., Abranches, D. A., &amp; Da Costa, P. R. (2024). The relationship between performance and the dimensions of the Brazilian Federal Revenue Service’s procurement structure. </w:t>
      </w:r>
      <w:r w:rsidRPr="00155C54">
        <w:rPr>
          <w:rFonts w:ascii="Arial" w:hAnsi="Arial" w:cs="Arial"/>
          <w:i/>
          <w:iCs/>
          <w:sz w:val="20"/>
          <w:szCs w:val="20"/>
          <w:lang w:val="es-ES"/>
        </w:rPr>
        <w:t>Revista de Administracao Publica</w:t>
      </w:r>
      <w:r w:rsidRPr="00155C54">
        <w:rPr>
          <w:rFonts w:ascii="Arial" w:hAnsi="Arial" w:cs="Arial"/>
          <w:sz w:val="20"/>
          <w:szCs w:val="20"/>
          <w:lang w:val="es-ES"/>
        </w:rPr>
        <w:t xml:space="preserve">, </w:t>
      </w:r>
      <w:r w:rsidRPr="00155C54">
        <w:rPr>
          <w:rFonts w:ascii="Arial" w:hAnsi="Arial" w:cs="Arial"/>
          <w:i/>
          <w:iCs/>
          <w:sz w:val="20"/>
          <w:szCs w:val="20"/>
          <w:lang w:val="es-ES"/>
        </w:rPr>
        <w:t>58</w:t>
      </w:r>
      <w:r w:rsidRPr="00155C54">
        <w:rPr>
          <w:rFonts w:ascii="Arial" w:hAnsi="Arial" w:cs="Arial"/>
          <w:sz w:val="20"/>
          <w:szCs w:val="20"/>
          <w:lang w:val="es-ES"/>
        </w:rPr>
        <w:t>(4), e2024-0028. https://doi.org/10.1590/0034-761220240028x</w:t>
      </w:r>
    </w:p>
    <w:p w14:paraId="68A0D015"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lastRenderedPageBreak/>
        <w:t xml:space="preserve">De Castro, A., Seleme, R., De Assis Silva, W., Zattar, I. C., Benitez, E. O., Canciglieri, O., &amp; Brittes, L. (2022). </w:t>
      </w:r>
      <w:r w:rsidR="009B2A0B" w:rsidRPr="00155C54">
        <w:rPr>
          <w:rFonts w:ascii="Arial" w:hAnsi="Arial" w:cs="Arial"/>
          <w:sz w:val="20"/>
          <w:szCs w:val="20"/>
          <w:lang w:val="es-ES"/>
        </w:rPr>
        <w:t>Evaluation and choice criteria of sustainable suppliers in the construction industry: a comparative study in brazilian companies</w:t>
      </w:r>
      <w:r w:rsidRPr="00155C54">
        <w:rPr>
          <w:rFonts w:ascii="Arial" w:hAnsi="Arial" w:cs="Arial"/>
          <w:sz w:val="20"/>
          <w:szCs w:val="20"/>
          <w:lang w:val="es-ES"/>
        </w:rPr>
        <w:t xml:space="preserve">. </w:t>
      </w:r>
      <w:r w:rsidRPr="00155C54">
        <w:rPr>
          <w:rFonts w:ascii="Arial" w:hAnsi="Arial" w:cs="Arial"/>
          <w:i/>
          <w:iCs/>
          <w:sz w:val="20"/>
          <w:szCs w:val="20"/>
          <w:lang w:val="es-ES"/>
        </w:rPr>
        <w:t>Sustainability</w:t>
      </w:r>
      <w:r w:rsidRPr="00155C54">
        <w:rPr>
          <w:rFonts w:ascii="Arial" w:hAnsi="Arial" w:cs="Arial"/>
          <w:sz w:val="20"/>
          <w:szCs w:val="20"/>
          <w:lang w:val="es-ES"/>
        </w:rPr>
        <w:t xml:space="preserve">, </w:t>
      </w:r>
      <w:r w:rsidRPr="00155C54">
        <w:rPr>
          <w:rFonts w:ascii="Arial" w:hAnsi="Arial" w:cs="Arial"/>
          <w:i/>
          <w:iCs/>
          <w:sz w:val="20"/>
          <w:szCs w:val="20"/>
          <w:lang w:val="es-ES"/>
        </w:rPr>
        <w:t>14</w:t>
      </w:r>
      <w:r w:rsidRPr="00155C54">
        <w:rPr>
          <w:rFonts w:ascii="Arial" w:hAnsi="Arial" w:cs="Arial"/>
          <w:sz w:val="20"/>
          <w:szCs w:val="20"/>
          <w:lang w:val="es-ES"/>
        </w:rPr>
        <w:t>(23), 15711. https://doi.org/10.3390/SU142315711</w:t>
      </w:r>
    </w:p>
    <w:p w14:paraId="7C5B9B61"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De Oliveira, A., Garcia, L., Resende, O., Andrade, G., Rodrigues, L., &amp; Alves, A. (2022). </w:t>
      </w:r>
      <w:r w:rsidR="009B2A0B" w:rsidRPr="00155C54">
        <w:rPr>
          <w:rFonts w:ascii="Arial" w:hAnsi="Arial" w:cs="Arial"/>
          <w:sz w:val="20"/>
          <w:szCs w:val="20"/>
          <w:lang w:val="es-ES"/>
        </w:rPr>
        <w:t>Prediction and visualisation of SICONV project profiles using machine learning</w:t>
      </w:r>
      <w:r w:rsidRPr="00155C54">
        <w:rPr>
          <w:rFonts w:ascii="Arial" w:hAnsi="Arial" w:cs="Arial"/>
          <w:sz w:val="20"/>
          <w:szCs w:val="20"/>
          <w:lang w:val="es-ES"/>
        </w:rPr>
        <w:t xml:space="preserve">. </w:t>
      </w:r>
      <w:r w:rsidRPr="00155C54">
        <w:rPr>
          <w:rFonts w:ascii="Arial" w:hAnsi="Arial" w:cs="Arial"/>
          <w:i/>
          <w:iCs/>
          <w:sz w:val="20"/>
          <w:szCs w:val="20"/>
          <w:lang w:val="es-ES"/>
        </w:rPr>
        <w:t>Systems</w:t>
      </w:r>
      <w:r w:rsidRPr="00155C54">
        <w:rPr>
          <w:rFonts w:ascii="Arial" w:hAnsi="Arial" w:cs="Arial"/>
          <w:sz w:val="20"/>
          <w:szCs w:val="20"/>
          <w:lang w:val="es-ES"/>
        </w:rPr>
        <w:t xml:space="preserve">, </w:t>
      </w:r>
      <w:r w:rsidRPr="00155C54">
        <w:rPr>
          <w:rFonts w:ascii="Arial" w:hAnsi="Arial" w:cs="Arial"/>
          <w:i/>
          <w:iCs/>
          <w:sz w:val="20"/>
          <w:szCs w:val="20"/>
          <w:lang w:val="es-ES"/>
        </w:rPr>
        <w:t>10</w:t>
      </w:r>
      <w:r w:rsidRPr="00155C54">
        <w:rPr>
          <w:rFonts w:ascii="Arial" w:hAnsi="Arial" w:cs="Arial"/>
          <w:sz w:val="20"/>
          <w:szCs w:val="20"/>
          <w:lang w:val="es-ES"/>
        </w:rPr>
        <w:t>(6), 252. https://doi.org/10.3390/SYSTEMS10060252</w:t>
      </w:r>
    </w:p>
    <w:p w14:paraId="6164CBB3"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Duarte, T. E., Ribeiro, P. C. C., &amp; Costa, H. G. (2024). Indicators and performance requirements for suppliers’ evaluation in the Brazilian electricity sector. </w:t>
      </w:r>
      <w:r w:rsidRPr="00155C54">
        <w:rPr>
          <w:rFonts w:ascii="Arial" w:hAnsi="Arial" w:cs="Arial"/>
          <w:i/>
          <w:iCs/>
          <w:sz w:val="20"/>
          <w:szCs w:val="20"/>
          <w:lang w:val="es-ES"/>
        </w:rPr>
        <w:t>Brazilian Journal of Operations &amp; Production Management</w:t>
      </w:r>
      <w:r w:rsidRPr="00155C54">
        <w:rPr>
          <w:rFonts w:ascii="Arial" w:hAnsi="Arial" w:cs="Arial"/>
          <w:sz w:val="20"/>
          <w:szCs w:val="20"/>
          <w:lang w:val="es-ES"/>
        </w:rPr>
        <w:t xml:space="preserve">, </w:t>
      </w:r>
      <w:r w:rsidRPr="00155C54">
        <w:rPr>
          <w:rFonts w:ascii="Arial" w:hAnsi="Arial" w:cs="Arial"/>
          <w:i/>
          <w:iCs/>
          <w:sz w:val="20"/>
          <w:szCs w:val="20"/>
          <w:lang w:val="es-ES"/>
        </w:rPr>
        <w:t>21</w:t>
      </w:r>
      <w:r w:rsidRPr="00155C54">
        <w:rPr>
          <w:rFonts w:ascii="Arial" w:hAnsi="Arial" w:cs="Arial"/>
          <w:sz w:val="20"/>
          <w:szCs w:val="20"/>
          <w:lang w:val="es-ES"/>
        </w:rPr>
        <w:t>(3), 1984–1984. https://doi.org/10.14488/BJOPM.1984.2024</w:t>
      </w:r>
    </w:p>
    <w:p w14:paraId="72E78EC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Fourie, D., &amp; Malan, C. (2020). </w:t>
      </w:r>
      <w:r w:rsidR="009B2A0B" w:rsidRPr="00155C54">
        <w:rPr>
          <w:rFonts w:ascii="Arial" w:hAnsi="Arial" w:cs="Arial"/>
          <w:sz w:val="20"/>
          <w:szCs w:val="20"/>
          <w:lang w:val="es-ES"/>
        </w:rPr>
        <w:t>Public procurement in the South African economy: addressing the systemic issues</w:t>
      </w:r>
      <w:r w:rsidRPr="00155C54">
        <w:rPr>
          <w:rFonts w:ascii="Arial" w:hAnsi="Arial" w:cs="Arial"/>
          <w:sz w:val="20"/>
          <w:szCs w:val="20"/>
          <w:lang w:val="es-ES"/>
        </w:rPr>
        <w:t xml:space="preserve">. </w:t>
      </w:r>
      <w:r w:rsidRPr="00155C54">
        <w:rPr>
          <w:rFonts w:ascii="Arial" w:hAnsi="Arial" w:cs="Arial"/>
          <w:i/>
          <w:iCs/>
          <w:sz w:val="20"/>
          <w:szCs w:val="20"/>
          <w:lang w:val="es-ES"/>
        </w:rPr>
        <w:t>Sustainability</w:t>
      </w:r>
      <w:r w:rsidRPr="00155C54">
        <w:rPr>
          <w:rFonts w:ascii="Arial" w:hAnsi="Arial" w:cs="Arial"/>
          <w:sz w:val="20"/>
          <w:szCs w:val="20"/>
          <w:lang w:val="es-ES"/>
        </w:rPr>
        <w:t xml:space="preserve">, </w:t>
      </w:r>
      <w:r w:rsidRPr="00155C54">
        <w:rPr>
          <w:rFonts w:ascii="Arial" w:hAnsi="Arial" w:cs="Arial"/>
          <w:i/>
          <w:iCs/>
          <w:sz w:val="20"/>
          <w:szCs w:val="20"/>
          <w:lang w:val="es-ES"/>
        </w:rPr>
        <w:t>12</w:t>
      </w:r>
      <w:r w:rsidRPr="00155C54">
        <w:rPr>
          <w:rFonts w:ascii="Arial" w:hAnsi="Arial" w:cs="Arial"/>
          <w:sz w:val="20"/>
          <w:szCs w:val="20"/>
          <w:lang w:val="es-ES"/>
        </w:rPr>
        <w:t>(20), 8692. https://doi.org/10.3390/SU12208692</w:t>
      </w:r>
    </w:p>
    <w:p w14:paraId="385D790E"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Gallego, J., Rivero, G., &amp; Martínez, J. (2021). Preventing rather than punishing: An early warning model of malfeasance in public procurement. </w:t>
      </w:r>
      <w:r w:rsidRPr="00155C54">
        <w:rPr>
          <w:rFonts w:ascii="Arial" w:hAnsi="Arial" w:cs="Arial"/>
          <w:i/>
          <w:iCs/>
          <w:sz w:val="20"/>
          <w:szCs w:val="20"/>
          <w:lang w:val="es-ES"/>
        </w:rPr>
        <w:t>International Journal of Forecasting</w:t>
      </w:r>
      <w:r w:rsidRPr="00155C54">
        <w:rPr>
          <w:rFonts w:ascii="Arial" w:hAnsi="Arial" w:cs="Arial"/>
          <w:sz w:val="20"/>
          <w:szCs w:val="20"/>
          <w:lang w:val="es-ES"/>
        </w:rPr>
        <w:t xml:space="preserve">, </w:t>
      </w:r>
      <w:r w:rsidRPr="00155C54">
        <w:rPr>
          <w:rFonts w:ascii="Arial" w:hAnsi="Arial" w:cs="Arial"/>
          <w:i/>
          <w:iCs/>
          <w:sz w:val="20"/>
          <w:szCs w:val="20"/>
          <w:lang w:val="es-ES"/>
        </w:rPr>
        <w:t>37</w:t>
      </w:r>
      <w:r w:rsidRPr="00155C54">
        <w:rPr>
          <w:rFonts w:ascii="Arial" w:hAnsi="Arial" w:cs="Arial"/>
          <w:sz w:val="20"/>
          <w:szCs w:val="20"/>
          <w:lang w:val="es-ES"/>
        </w:rPr>
        <w:t>(1), 360–377. https://doi.org/10.1016/j.ijforecast.2020.06.006</w:t>
      </w:r>
    </w:p>
    <w:p w14:paraId="74F9E53A"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Gola, J. (2020). </w:t>
      </w:r>
      <w:r w:rsidR="009B2A0B" w:rsidRPr="00155C54">
        <w:rPr>
          <w:rFonts w:ascii="Arial" w:hAnsi="Arial" w:cs="Arial"/>
          <w:sz w:val="20"/>
          <w:szCs w:val="20"/>
          <w:lang w:val="es-ES"/>
        </w:rPr>
        <w:t>Criteria for the proper management of public property and the control of public procurement</w:t>
      </w:r>
      <w:r w:rsidRPr="00155C54">
        <w:rPr>
          <w:rFonts w:ascii="Arial" w:hAnsi="Arial" w:cs="Arial"/>
          <w:sz w:val="20"/>
          <w:szCs w:val="20"/>
          <w:lang w:val="es-ES"/>
        </w:rPr>
        <w:t xml:space="preserve">. </w:t>
      </w:r>
      <w:r w:rsidRPr="00155C54">
        <w:rPr>
          <w:rFonts w:ascii="Arial" w:hAnsi="Arial" w:cs="Arial"/>
          <w:i/>
          <w:iCs/>
          <w:sz w:val="20"/>
          <w:szCs w:val="20"/>
          <w:lang w:val="es-ES"/>
        </w:rPr>
        <w:t>Eurasian Studies in Business and Economics</w:t>
      </w:r>
      <w:r w:rsidRPr="00155C54">
        <w:rPr>
          <w:rFonts w:ascii="Arial" w:hAnsi="Arial" w:cs="Arial"/>
          <w:sz w:val="20"/>
          <w:szCs w:val="20"/>
          <w:lang w:val="es-ES"/>
        </w:rPr>
        <w:t xml:space="preserve">, </w:t>
      </w:r>
      <w:r w:rsidRPr="00155C54">
        <w:rPr>
          <w:rFonts w:ascii="Arial" w:hAnsi="Arial" w:cs="Arial"/>
          <w:i/>
          <w:iCs/>
          <w:sz w:val="20"/>
          <w:szCs w:val="20"/>
          <w:lang w:val="es-ES"/>
        </w:rPr>
        <w:t>12</w:t>
      </w:r>
      <w:r w:rsidRPr="00155C54">
        <w:rPr>
          <w:rFonts w:ascii="Arial" w:hAnsi="Arial" w:cs="Arial"/>
          <w:sz w:val="20"/>
          <w:szCs w:val="20"/>
          <w:lang w:val="es-ES"/>
        </w:rPr>
        <w:t>(1), 365–375. https://doi.org/10.1007/978-3-030-35040-6_23</w:t>
      </w:r>
    </w:p>
    <w:p w14:paraId="31DBC56D"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Gonçalves, D., &amp; Borges, D. C. (2024). Competências individuais para a </w:t>
      </w:r>
      <w:r w:rsidR="009B2A0B" w:rsidRPr="00155C54">
        <w:rPr>
          <w:rFonts w:ascii="Arial" w:hAnsi="Arial" w:cs="Arial"/>
          <w:sz w:val="20"/>
          <w:szCs w:val="20"/>
          <w:lang w:val="es-ES"/>
        </w:rPr>
        <w:t>g</w:t>
      </w:r>
      <w:r w:rsidRPr="00155C54">
        <w:rPr>
          <w:rFonts w:ascii="Arial" w:hAnsi="Arial" w:cs="Arial"/>
          <w:sz w:val="20"/>
          <w:szCs w:val="20"/>
          <w:lang w:val="es-ES"/>
        </w:rPr>
        <w:t xml:space="preserve">estão de </w:t>
      </w:r>
      <w:r w:rsidR="009B2A0B" w:rsidRPr="00155C54">
        <w:rPr>
          <w:rFonts w:ascii="Arial" w:hAnsi="Arial" w:cs="Arial"/>
          <w:sz w:val="20"/>
          <w:szCs w:val="20"/>
          <w:lang w:val="es-ES"/>
        </w:rPr>
        <w:t>p</w:t>
      </w:r>
      <w:r w:rsidRPr="00155C54">
        <w:rPr>
          <w:rFonts w:ascii="Arial" w:hAnsi="Arial" w:cs="Arial"/>
          <w:sz w:val="20"/>
          <w:szCs w:val="20"/>
          <w:lang w:val="es-ES"/>
        </w:rPr>
        <w:t xml:space="preserve">rojetos: </w:t>
      </w:r>
      <w:r w:rsidR="009B2A0B" w:rsidRPr="00155C54">
        <w:rPr>
          <w:rFonts w:ascii="Arial" w:hAnsi="Arial" w:cs="Arial"/>
          <w:sz w:val="20"/>
          <w:szCs w:val="20"/>
          <w:lang w:val="es-ES"/>
        </w:rPr>
        <w:t>e</w:t>
      </w:r>
      <w:r w:rsidRPr="00155C54">
        <w:rPr>
          <w:rFonts w:ascii="Arial" w:hAnsi="Arial" w:cs="Arial"/>
          <w:sz w:val="20"/>
          <w:szCs w:val="20"/>
          <w:lang w:val="es-ES"/>
        </w:rPr>
        <w:t xml:space="preserve">studo em uma Instituição de </w:t>
      </w:r>
      <w:r w:rsidR="009B2A0B" w:rsidRPr="00155C54">
        <w:rPr>
          <w:rFonts w:ascii="Arial" w:hAnsi="Arial" w:cs="Arial"/>
          <w:sz w:val="20"/>
          <w:szCs w:val="20"/>
          <w:lang w:val="es-ES"/>
        </w:rPr>
        <w:t>s</w:t>
      </w:r>
      <w:r w:rsidRPr="00155C54">
        <w:rPr>
          <w:rFonts w:ascii="Arial" w:hAnsi="Arial" w:cs="Arial"/>
          <w:sz w:val="20"/>
          <w:szCs w:val="20"/>
          <w:lang w:val="es-ES"/>
        </w:rPr>
        <w:t xml:space="preserve">aúde </w:t>
      </w:r>
      <w:r w:rsidR="009B2A0B" w:rsidRPr="00155C54">
        <w:rPr>
          <w:rFonts w:ascii="Arial" w:hAnsi="Arial" w:cs="Arial"/>
          <w:sz w:val="20"/>
          <w:szCs w:val="20"/>
          <w:lang w:val="es-ES"/>
        </w:rPr>
        <w:t>p</w:t>
      </w:r>
      <w:r w:rsidRPr="00155C54">
        <w:rPr>
          <w:rFonts w:ascii="Arial" w:hAnsi="Arial" w:cs="Arial"/>
          <w:sz w:val="20"/>
          <w:szCs w:val="20"/>
          <w:lang w:val="es-ES"/>
        </w:rPr>
        <w:t xml:space="preserve">ública. </w:t>
      </w:r>
      <w:r w:rsidRPr="00155C54">
        <w:rPr>
          <w:rFonts w:ascii="Arial" w:hAnsi="Arial" w:cs="Arial"/>
          <w:i/>
          <w:iCs/>
          <w:sz w:val="20"/>
          <w:szCs w:val="20"/>
          <w:lang w:val="es-ES"/>
        </w:rPr>
        <w:t>Revista de Gestão e Projetos</w:t>
      </w:r>
      <w:r w:rsidRPr="00155C54">
        <w:rPr>
          <w:rFonts w:ascii="Arial" w:hAnsi="Arial" w:cs="Arial"/>
          <w:sz w:val="20"/>
          <w:szCs w:val="20"/>
          <w:lang w:val="es-ES"/>
        </w:rPr>
        <w:t xml:space="preserve">, </w:t>
      </w:r>
      <w:r w:rsidRPr="00155C54">
        <w:rPr>
          <w:rFonts w:ascii="Arial" w:hAnsi="Arial" w:cs="Arial"/>
          <w:i/>
          <w:iCs/>
          <w:sz w:val="20"/>
          <w:szCs w:val="20"/>
          <w:lang w:val="es-ES"/>
        </w:rPr>
        <w:t>15</w:t>
      </w:r>
      <w:r w:rsidRPr="00155C54">
        <w:rPr>
          <w:rFonts w:ascii="Arial" w:hAnsi="Arial" w:cs="Arial"/>
          <w:sz w:val="20"/>
          <w:szCs w:val="20"/>
          <w:lang w:val="es-ES"/>
        </w:rPr>
        <w:t>(1), 90–115. https://doi.org/10.5585/gep.v15i1.24043</w:t>
      </w:r>
    </w:p>
    <w:p w14:paraId="5731BB0A"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Gutiérrez, J. D. (2020). Oil revenues, public procurement and armed conflict: A case study of a subnational government in Colombia. </w:t>
      </w:r>
      <w:r w:rsidRPr="00155C54">
        <w:rPr>
          <w:rFonts w:ascii="Arial" w:hAnsi="Arial" w:cs="Arial"/>
          <w:i/>
          <w:iCs/>
          <w:sz w:val="20"/>
          <w:szCs w:val="20"/>
          <w:lang w:val="es-ES"/>
        </w:rPr>
        <w:t>The Extractive Industries and Society</w:t>
      </w:r>
      <w:r w:rsidRPr="00155C54">
        <w:rPr>
          <w:rFonts w:ascii="Arial" w:hAnsi="Arial" w:cs="Arial"/>
          <w:sz w:val="20"/>
          <w:szCs w:val="20"/>
          <w:lang w:val="es-ES"/>
        </w:rPr>
        <w:t xml:space="preserve">, </w:t>
      </w:r>
      <w:r w:rsidRPr="00155C54">
        <w:rPr>
          <w:rFonts w:ascii="Arial" w:hAnsi="Arial" w:cs="Arial"/>
          <w:i/>
          <w:iCs/>
          <w:sz w:val="20"/>
          <w:szCs w:val="20"/>
          <w:lang w:val="es-ES"/>
        </w:rPr>
        <w:t>7</w:t>
      </w:r>
      <w:r w:rsidRPr="00155C54">
        <w:rPr>
          <w:rFonts w:ascii="Arial" w:hAnsi="Arial" w:cs="Arial"/>
          <w:sz w:val="20"/>
          <w:szCs w:val="20"/>
          <w:lang w:val="es-ES"/>
        </w:rPr>
        <w:t>(2), 686–703. https://doi.org/10.1016/j.exis.2020.03.018</w:t>
      </w:r>
    </w:p>
    <w:p w14:paraId="29E163AC"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Hernández, C. G., Gutiérrez, Ó. J., &amp; Sarmiento, J. A. (2023). Analysis of building behavior in construction industry and its relationship with its business performance for state contracting in Boyacá, Colombia. </w:t>
      </w:r>
      <w:r w:rsidRPr="00155C54">
        <w:rPr>
          <w:rFonts w:ascii="Arial" w:hAnsi="Arial" w:cs="Arial"/>
          <w:i/>
          <w:iCs/>
          <w:sz w:val="20"/>
          <w:szCs w:val="20"/>
          <w:lang w:val="es-ES"/>
        </w:rPr>
        <w:t>Revista Venezolana de Gerencia</w:t>
      </w:r>
      <w:r w:rsidRPr="00155C54">
        <w:rPr>
          <w:rFonts w:ascii="Arial" w:hAnsi="Arial" w:cs="Arial"/>
          <w:sz w:val="20"/>
          <w:szCs w:val="20"/>
          <w:lang w:val="es-ES"/>
        </w:rPr>
        <w:t xml:space="preserve">, </w:t>
      </w:r>
      <w:r w:rsidRPr="00155C54">
        <w:rPr>
          <w:rFonts w:ascii="Arial" w:hAnsi="Arial" w:cs="Arial"/>
          <w:i/>
          <w:iCs/>
          <w:sz w:val="20"/>
          <w:szCs w:val="20"/>
          <w:lang w:val="es-ES"/>
        </w:rPr>
        <w:t>28</w:t>
      </w:r>
      <w:r w:rsidRPr="00155C54">
        <w:rPr>
          <w:rFonts w:ascii="Arial" w:hAnsi="Arial" w:cs="Arial"/>
          <w:sz w:val="20"/>
          <w:szCs w:val="20"/>
          <w:lang w:val="es-ES"/>
        </w:rPr>
        <w:t>(101), 186–209. https://doi.org/10.52080/rvgluz.28.101.13</w:t>
      </w:r>
    </w:p>
    <w:p w14:paraId="46B98CAF"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Jain, M. (2021). </w:t>
      </w:r>
      <w:r w:rsidR="009B2A0B" w:rsidRPr="00155C54">
        <w:rPr>
          <w:rFonts w:ascii="Arial" w:hAnsi="Arial" w:cs="Arial"/>
          <w:sz w:val="20"/>
          <w:szCs w:val="20"/>
          <w:lang w:val="es-ES"/>
        </w:rPr>
        <w:t>An overview of project management</w:t>
      </w:r>
      <w:r w:rsidRPr="00155C54">
        <w:rPr>
          <w:rFonts w:ascii="Arial" w:hAnsi="Arial" w:cs="Arial"/>
          <w:sz w:val="20"/>
          <w:szCs w:val="20"/>
          <w:lang w:val="es-ES"/>
        </w:rPr>
        <w:t xml:space="preserve">. </w:t>
      </w:r>
      <w:r w:rsidRPr="00155C54">
        <w:rPr>
          <w:rFonts w:ascii="Arial" w:hAnsi="Arial" w:cs="Arial"/>
          <w:i/>
          <w:iCs/>
          <w:sz w:val="20"/>
          <w:szCs w:val="20"/>
          <w:lang w:val="es-ES"/>
        </w:rPr>
        <w:t>The Journal of Contemporary Issues in Business and Government</w:t>
      </w:r>
      <w:r w:rsidRPr="00155C54">
        <w:rPr>
          <w:rFonts w:ascii="Arial" w:hAnsi="Arial" w:cs="Arial"/>
          <w:sz w:val="20"/>
          <w:szCs w:val="20"/>
          <w:lang w:val="es-ES"/>
        </w:rPr>
        <w:t xml:space="preserve">, </w:t>
      </w:r>
      <w:r w:rsidRPr="00155C54">
        <w:rPr>
          <w:rFonts w:ascii="Arial" w:hAnsi="Arial" w:cs="Arial"/>
          <w:i/>
          <w:iCs/>
          <w:sz w:val="20"/>
          <w:szCs w:val="20"/>
          <w:lang w:val="es-ES"/>
        </w:rPr>
        <w:t>27</w:t>
      </w:r>
      <w:r w:rsidRPr="00155C54">
        <w:rPr>
          <w:rFonts w:ascii="Arial" w:hAnsi="Arial" w:cs="Arial"/>
          <w:sz w:val="20"/>
          <w:szCs w:val="20"/>
          <w:lang w:val="es-ES"/>
        </w:rPr>
        <w:t>(3), 700–704. https://cibgp.com/au/index.php/1323-6903/article/view/1654</w:t>
      </w:r>
    </w:p>
    <w:p w14:paraId="5756EF30"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Kajimbwa, M. A. (2022). </w:t>
      </w:r>
      <w:r w:rsidR="009B2A0B" w:rsidRPr="00155C54">
        <w:rPr>
          <w:rFonts w:ascii="Arial" w:hAnsi="Arial" w:cs="Arial"/>
          <w:sz w:val="20"/>
          <w:szCs w:val="20"/>
          <w:lang w:val="es-ES"/>
        </w:rPr>
        <w:t>Public procurement and performance</w:t>
      </w:r>
      <w:r w:rsidRPr="00155C54">
        <w:rPr>
          <w:rFonts w:ascii="Arial" w:hAnsi="Arial" w:cs="Arial"/>
          <w:sz w:val="20"/>
          <w:szCs w:val="20"/>
          <w:lang w:val="es-ES"/>
        </w:rPr>
        <w:t xml:space="preserve">. </w:t>
      </w:r>
      <w:r w:rsidRPr="00155C54">
        <w:rPr>
          <w:rFonts w:ascii="Arial" w:hAnsi="Arial" w:cs="Arial"/>
          <w:i/>
          <w:iCs/>
          <w:sz w:val="20"/>
          <w:szCs w:val="20"/>
          <w:lang w:val="es-ES"/>
        </w:rPr>
        <w:t>Global Encyclopedia of Public Administration, Public Policy, and Governance</w:t>
      </w:r>
      <w:r w:rsidRPr="00155C54">
        <w:rPr>
          <w:rFonts w:ascii="Arial" w:hAnsi="Arial" w:cs="Arial"/>
          <w:sz w:val="20"/>
          <w:szCs w:val="20"/>
          <w:lang w:val="es-ES"/>
        </w:rPr>
        <w:t>, 10837–10842. https://doi.org/10.1007/978-3-030-66252-3_1504</w:t>
      </w:r>
    </w:p>
    <w:p w14:paraId="3D22E791"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Križić, I. (2021). Regulating public procurement in Brazil, India, and China: Toward the regulatory-developmental state. </w:t>
      </w:r>
      <w:r w:rsidRPr="00155C54">
        <w:rPr>
          <w:rFonts w:ascii="Arial" w:hAnsi="Arial" w:cs="Arial"/>
          <w:i/>
          <w:iCs/>
          <w:sz w:val="20"/>
          <w:szCs w:val="20"/>
          <w:lang w:val="es-ES"/>
        </w:rPr>
        <w:t>Regulation &amp; Governance</w:t>
      </w:r>
      <w:r w:rsidRPr="00155C54">
        <w:rPr>
          <w:rFonts w:ascii="Arial" w:hAnsi="Arial" w:cs="Arial"/>
          <w:sz w:val="20"/>
          <w:szCs w:val="20"/>
          <w:lang w:val="es-ES"/>
        </w:rPr>
        <w:t xml:space="preserve">, </w:t>
      </w:r>
      <w:r w:rsidRPr="00155C54">
        <w:rPr>
          <w:rFonts w:ascii="Arial" w:hAnsi="Arial" w:cs="Arial"/>
          <w:i/>
          <w:iCs/>
          <w:sz w:val="20"/>
          <w:szCs w:val="20"/>
          <w:lang w:val="es-ES"/>
        </w:rPr>
        <w:t>15</w:t>
      </w:r>
      <w:r w:rsidRPr="00155C54">
        <w:rPr>
          <w:rFonts w:ascii="Arial" w:hAnsi="Arial" w:cs="Arial"/>
          <w:sz w:val="20"/>
          <w:szCs w:val="20"/>
          <w:lang w:val="es-ES"/>
        </w:rPr>
        <w:t>(3), 561–580. https://doi.org/10.1111/REGO.12243</w:t>
      </w:r>
    </w:p>
    <w:p w14:paraId="7F1A8B6D"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Maia, H. C., Castro, A. B., Nodari, C. H., &amp; Oliveira, W. F. (2021)</w:t>
      </w:r>
      <w:r w:rsidR="009B2A0B" w:rsidRPr="00155C54">
        <w:rPr>
          <w:rFonts w:ascii="Arial" w:hAnsi="Arial" w:cs="Arial"/>
          <w:sz w:val="20"/>
          <w:szCs w:val="20"/>
          <w:lang w:val="es-ES"/>
        </w:rPr>
        <w:t>. Antecedent dimensions in the B</w:t>
      </w:r>
      <w:r w:rsidRPr="00155C54">
        <w:rPr>
          <w:rFonts w:ascii="Arial" w:hAnsi="Arial" w:cs="Arial"/>
          <w:sz w:val="20"/>
          <w:szCs w:val="20"/>
          <w:lang w:val="es-ES"/>
        </w:rPr>
        <w:t xml:space="preserve">razilian public administration: an analysis of the innovation contest in the public sector. </w:t>
      </w:r>
      <w:r w:rsidRPr="00155C54">
        <w:rPr>
          <w:rFonts w:ascii="Arial" w:hAnsi="Arial" w:cs="Arial"/>
          <w:i/>
          <w:iCs/>
          <w:sz w:val="20"/>
          <w:szCs w:val="20"/>
          <w:lang w:val="es-ES"/>
        </w:rPr>
        <w:t>Revista de Gestão e Secretariado</w:t>
      </w:r>
      <w:r w:rsidRPr="00155C54">
        <w:rPr>
          <w:rFonts w:ascii="Arial" w:hAnsi="Arial" w:cs="Arial"/>
          <w:sz w:val="20"/>
          <w:szCs w:val="20"/>
          <w:lang w:val="es-ES"/>
        </w:rPr>
        <w:t xml:space="preserve">, </w:t>
      </w:r>
      <w:r w:rsidRPr="00155C54">
        <w:rPr>
          <w:rFonts w:ascii="Arial" w:hAnsi="Arial" w:cs="Arial"/>
          <w:i/>
          <w:iCs/>
          <w:sz w:val="20"/>
          <w:szCs w:val="20"/>
          <w:lang w:val="es-ES"/>
        </w:rPr>
        <w:t>12</w:t>
      </w:r>
      <w:r w:rsidRPr="00155C54">
        <w:rPr>
          <w:rFonts w:ascii="Arial" w:hAnsi="Arial" w:cs="Arial"/>
          <w:sz w:val="20"/>
          <w:szCs w:val="20"/>
          <w:lang w:val="es-ES"/>
        </w:rPr>
        <w:t>(1), 26–52. https://doi.org/10.7769/gesec.v12i1.1134</w:t>
      </w:r>
    </w:p>
    <w:p w14:paraId="3863C810"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Malacina, I., Karttunen, E., Jääskeläinen, A., Lintukangas, K., Heikkilä, J., &amp; Kähkönen, A. K. (2022). Capturing the value creation in public procurement: A practice-based view. </w:t>
      </w:r>
      <w:r w:rsidRPr="00155C54">
        <w:rPr>
          <w:rFonts w:ascii="Arial" w:hAnsi="Arial" w:cs="Arial"/>
          <w:i/>
          <w:iCs/>
          <w:sz w:val="20"/>
          <w:szCs w:val="20"/>
          <w:lang w:val="es-ES"/>
        </w:rPr>
        <w:t>Journal of Purchasing and Supply Management</w:t>
      </w:r>
      <w:r w:rsidRPr="00155C54">
        <w:rPr>
          <w:rFonts w:ascii="Arial" w:hAnsi="Arial" w:cs="Arial"/>
          <w:sz w:val="20"/>
          <w:szCs w:val="20"/>
          <w:lang w:val="es-ES"/>
        </w:rPr>
        <w:t xml:space="preserve">, </w:t>
      </w:r>
      <w:r w:rsidRPr="00155C54">
        <w:rPr>
          <w:rFonts w:ascii="Arial" w:hAnsi="Arial" w:cs="Arial"/>
          <w:i/>
          <w:iCs/>
          <w:sz w:val="20"/>
          <w:szCs w:val="20"/>
          <w:lang w:val="es-ES"/>
        </w:rPr>
        <w:t>28</w:t>
      </w:r>
      <w:r w:rsidRPr="00155C54">
        <w:rPr>
          <w:rFonts w:ascii="Arial" w:hAnsi="Arial" w:cs="Arial"/>
          <w:sz w:val="20"/>
          <w:szCs w:val="20"/>
          <w:lang w:val="es-ES"/>
        </w:rPr>
        <w:t>(2), 100745. https://doi.org/10.1016/J.PURSUP.2021.100745</w:t>
      </w:r>
    </w:p>
    <w:p w14:paraId="66FEE434"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Melati, C., Janissek-Muniz, R., &amp; Marques, C. M. (2021). </w:t>
      </w:r>
      <w:r w:rsidR="009B2A0B" w:rsidRPr="00155C54">
        <w:rPr>
          <w:rFonts w:ascii="Arial" w:hAnsi="Arial" w:cs="Arial"/>
          <w:sz w:val="20"/>
          <w:szCs w:val="20"/>
          <w:lang w:val="es-ES"/>
        </w:rPr>
        <w:t>Decision-making quality of public managers: contributions from intelligence and knowledge management</w:t>
      </w:r>
      <w:r w:rsidRPr="00155C54">
        <w:rPr>
          <w:rFonts w:ascii="Arial" w:hAnsi="Arial" w:cs="Arial"/>
          <w:sz w:val="20"/>
          <w:szCs w:val="20"/>
          <w:lang w:val="es-ES"/>
        </w:rPr>
        <w:t xml:space="preserve">. </w:t>
      </w:r>
      <w:r w:rsidRPr="00155C54">
        <w:rPr>
          <w:rFonts w:ascii="Arial" w:hAnsi="Arial" w:cs="Arial"/>
          <w:i/>
          <w:iCs/>
          <w:sz w:val="20"/>
          <w:szCs w:val="20"/>
          <w:lang w:val="es-ES"/>
        </w:rPr>
        <w:t>Revista de Administração Contemporânea</w:t>
      </w:r>
      <w:r w:rsidRPr="00155C54">
        <w:rPr>
          <w:rFonts w:ascii="Arial" w:hAnsi="Arial" w:cs="Arial"/>
          <w:sz w:val="20"/>
          <w:szCs w:val="20"/>
          <w:lang w:val="es-ES"/>
        </w:rPr>
        <w:t xml:space="preserve">, </w:t>
      </w:r>
      <w:r w:rsidRPr="00155C54">
        <w:rPr>
          <w:rFonts w:ascii="Arial" w:hAnsi="Arial" w:cs="Arial"/>
          <w:i/>
          <w:iCs/>
          <w:sz w:val="20"/>
          <w:szCs w:val="20"/>
          <w:lang w:val="es-ES"/>
        </w:rPr>
        <w:t>25</w:t>
      </w:r>
      <w:r w:rsidRPr="00155C54">
        <w:rPr>
          <w:rFonts w:ascii="Arial" w:hAnsi="Arial" w:cs="Arial"/>
          <w:sz w:val="20"/>
          <w:szCs w:val="20"/>
          <w:lang w:val="es-ES"/>
        </w:rPr>
        <w:t>(2), e190044. https://doi.org/10.1590/1982-7849RAC2021190044.EN</w:t>
      </w:r>
    </w:p>
    <w:p w14:paraId="5B85894A"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Meuleman, L. (2021). </w:t>
      </w:r>
      <w:r w:rsidR="009B2A0B" w:rsidRPr="00155C54">
        <w:rPr>
          <w:rFonts w:ascii="Arial" w:hAnsi="Arial" w:cs="Arial"/>
          <w:sz w:val="20"/>
          <w:szCs w:val="20"/>
          <w:lang w:val="es-ES"/>
        </w:rPr>
        <w:t>Public administration and governance for the SDGs: navigating between change and stability</w:t>
      </w:r>
      <w:r w:rsidRPr="00155C54">
        <w:rPr>
          <w:rFonts w:ascii="Arial" w:hAnsi="Arial" w:cs="Arial"/>
          <w:sz w:val="20"/>
          <w:szCs w:val="20"/>
          <w:lang w:val="es-ES"/>
        </w:rPr>
        <w:t xml:space="preserve">. </w:t>
      </w:r>
      <w:r w:rsidRPr="00155C54">
        <w:rPr>
          <w:rFonts w:ascii="Arial" w:hAnsi="Arial" w:cs="Arial"/>
          <w:i/>
          <w:iCs/>
          <w:sz w:val="20"/>
          <w:szCs w:val="20"/>
          <w:lang w:val="es-ES"/>
        </w:rPr>
        <w:t>Sustainability</w:t>
      </w:r>
      <w:r w:rsidRPr="00155C54">
        <w:rPr>
          <w:rFonts w:ascii="Arial" w:hAnsi="Arial" w:cs="Arial"/>
          <w:sz w:val="20"/>
          <w:szCs w:val="20"/>
          <w:lang w:val="es-ES"/>
        </w:rPr>
        <w:t xml:space="preserve">, </w:t>
      </w:r>
      <w:r w:rsidRPr="00155C54">
        <w:rPr>
          <w:rFonts w:ascii="Arial" w:hAnsi="Arial" w:cs="Arial"/>
          <w:i/>
          <w:iCs/>
          <w:sz w:val="20"/>
          <w:szCs w:val="20"/>
          <w:lang w:val="es-ES"/>
        </w:rPr>
        <w:t>13</w:t>
      </w:r>
      <w:r w:rsidRPr="00155C54">
        <w:rPr>
          <w:rFonts w:ascii="Arial" w:hAnsi="Arial" w:cs="Arial"/>
          <w:sz w:val="20"/>
          <w:szCs w:val="20"/>
          <w:lang w:val="es-ES"/>
        </w:rPr>
        <w:t>(11), 5914. https://doi.org/10.3390/su13115914</w:t>
      </w:r>
    </w:p>
    <w:p w14:paraId="2CF0B307"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Moreno, P. J., &amp; Saldaña, H. J. (2024). Tercerización de servicios en gestión pública municipal: Revisión sistemática. </w:t>
      </w:r>
      <w:r w:rsidRPr="00155C54">
        <w:rPr>
          <w:rFonts w:ascii="Arial" w:hAnsi="Arial" w:cs="Arial"/>
          <w:i/>
          <w:iCs/>
          <w:sz w:val="20"/>
          <w:szCs w:val="20"/>
          <w:lang w:val="es-ES"/>
        </w:rPr>
        <w:t>Revista Espacios</w:t>
      </w:r>
      <w:r w:rsidRPr="00155C54">
        <w:rPr>
          <w:rFonts w:ascii="Arial" w:hAnsi="Arial" w:cs="Arial"/>
          <w:sz w:val="20"/>
          <w:szCs w:val="20"/>
          <w:lang w:val="es-ES"/>
        </w:rPr>
        <w:t xml:space="preserve">, </w:t>
      </w:r>
      <w:r w:rsidRPr="00155C54">
        <w:rPr>
          <w:rFonts w:ascii="Arial" w:hAnsi="Arial" w:cs="Arial"/>
          <w:i/>
          <w:iCs/>
          <w:sz w:val="20"/>
          <w:szCs w:val="20"/>
          <w:lang w:val="es-ES"/>
        </w:rPr>
        <w:t>45</w:t>
      </w:r>
      <w:r w:rsidRPr="00155C54">
        <w:rPr>
          <w:rFonts w:ascii="Arial" w:hAnsi="Arial" w:cs="Arial"/>
          <w:sz w:val="20"/>
          <w:szCs w:val="20"/>
          <w:lang w:val="es-ES"/>
        </w:rPr>
        <w:t>(6), 116–127. https://doi.org/10.48082/ESPACIOS-A24V45N06P10</w:t>
      </w:r>
    </w:p>
    <w:p w14:paraId="2910D089"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Nilsson, E., Larsson, J., &amp; Hedgren, E. (2025). Public clients pursue innovation, but what’s going on at the project level? A case study of infrastructure operation and maintenance. </w:t>
      </w:r>
      <w:r w:rsidRPr="00155C54">
        <w:rPr>
          <w:rFonts w:ascii="Arial" w:hAnsi="Arial" w:cs="Arial"/>
          <w:i/>
          <w:iCs/>
          <w:sz w:val="20"/>
          <w:szCs w:val="20"/>
          <w:lang w:val="es-ES"/>
        </w:rPr>
        <w:t>Construction Management and Economics</w:t>
      </w:r>
      <w:r w:rsidRPr="00155C54">
        <w:rPr>
          <w:rFonts w:ascii="Arial" w:hAnsi="Arial" w:cs="Arial"/>
          <w:sz w:val="20"/>
          <w:szCs w:val="20"/>
          <w:lang w:val="es-ES"/>
        </w:rPr>
        <w:t xml:space="preserve">, </w:t>
      </w:r>
      <w:r w:rsidRPr="00155C54">
        <w:rPr>
          <w:rFonts w:ascii="Arial" w:hAnsi="Arial" w:cs="Arial"/>
          <w:i/>
          <w:iCs/>
          <w:sz w:val="20"/>
          <w:szCs w:val="20"/>
          <w:lang w:val="es-ES"/>
        </w:rPr>
        <w:t>43</w:t>
      </w:r>
      <w:r w:rsidRPr="00155C54">
        <w:rPr>
          <w:rFonts w:ascii="Arial" w:hAnsi="Arial" w:cs="Arial"/>
          <w:sz w:val="20"/>
          <w:szCs w:val="20"/>
          <w:lang w:val="es-ES"/>
        </w:rPr>
        <w:t>(1), 26–39. https://doi.org/10.1080/01446193.2024.2376580</w:t>
      </w:r>
    </w:p>
    <w:p w14:paraId="051CEC11"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Ominde, D., Ochieng, E. G., &amp; Omwenga, V. O. (2023). An assessment tool for stakeholder integration excellence and project delivery optimisation. </w:t>
      </w:r>
      <w:r w:rsidRPr="00155C54">
        <w:rPr>
          <w:rFonts w:ascii="Arial" w:hAnsi="Arial" w:cs="Arial"/>
          <w:i/>
          <w:iCs/>
          <w:sz w:val="20"/>
          <w:szCs w:val="20"/>
          <w:lang w:val="es-ES"/>
        </w:rPr>
        <w:t>International Journal of Productivity and Performance Management</w:t>
      </w:r>
      <w:r w:rsidRPr="00155C54">
        <w:rPr>
          <w:rFonts w:ascii="Arial" w:hAnsi="Arial" w:cs="Arial"/>
          <w:sz w:val="20"/>
          <w:szCs w:val="20"/>
          <w:lang w:val="es-ES"/>
        </w:rPr>
        <w:t xml:space="preserve">, </w:t>
      </w:r>
      <w:r w:rsidRPr="00155C54">
        <w:rPr>
          <w:rFonts w:ascii="Arial" w:hAnsi="Arial" w:cs="Arial"/>
          <w:i/>
          <w:iCs/>
          <w:sz w:val="20"/>
          <w:szCs w:val="20"/>
          <w:lang w:val="es-ES"/>
        </w:rPr>
        <w:t>72</w:t>
      </w:r>
      <w:r w:rsidRPr="00155C54">
        <w:rPr>
          <w:rFonts w:ascii="Arial" w:hAnsi="Arial" w:cs="Arial"/>
          <w:sz w:val="20"/>
          <w:szCs w:val="20"/>
          <w:lang w:val="es-ES"/>
        </w:rPr>
        <w:t>(7), 2155–2182. https://doi.org/10.1108/IJPPM-02-2021-0115/FULL/XML</w:t>
      </w:r>
    </w:p>
    <w:p w14:paraId="419908EA"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Pereira, V. J., Amâncio, S. F., Capucho, P. H. P., Suguihiro, V. L. T., &amp; Tridapalli, J. P. (2022). Cost management in the supply chain: An analysis of the costs of different types of municipal procurement. </w:t>
      </w:r>
      <w:r w:rsidRPr="00155C54">
        <w:rPr>
          <w:rFonts w:ascii="Arial" w:hAnsi="Arial" w:cs="Arial"/>
          <w:i/>
          <w:iCs/>
          <w:sz w:val="20"/>
          <w:szCs w:val="20"/>
          <w:lang w:val="es-ES"/>
        </w:rPr>
        <w:t>Social Sciences and Humanities Open</w:t>
      </w:r>
      <w:r w:rsidRPr="00155C54">
        <w:rPr>
          <w:rFonts w:ascii="Arial" w:hAnsi="Arial" w:cs="Arial"/>
          <w:sz w:val="20"/>
          <w:szCs w:val="20"/>
          <w:lang w:val="es-ES"/>
        </w:rPr>
        <w:t xml:space="preserve">, </w:t>
      </w:r>
      <w:r w:rsidRPr="00155C54">
        <w:rPr>
          <w:rFonts w:ascii="Arial" w:hAnsi="Arial" w:cs="Arial"/>
          <w:i/>
          <w:iCs/>
          <w:sz w:val="20"/>
          <w:szCs w:val="20"/>
          <w:lang w:val="es-ES"/>
        </w:rPr>
        <w:t>5</w:t>
      </w:r>
      <w:r w:rsidRPr="00155C54">
        <w:rPr>
          <w:rFonts w:ascii="Arial" w:hAnsi="Arial" w:cs="Arial"/>
          <w:sz w:val="20"/>
          <w:szCs w:val="20"/>
          <w:lang w:val="es-ES"/>
        </w:rPr>
        <w:t>(1), 100260. https://doi.org/10.1016/j.ssaho.2022.100260</w:t>
      </w:r>
    </w:p>
    <w:p w14:paraId="26F7D073"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lastRenderedPageBreak/>
        <w:t xml:space="preserve">Ponce, J. M., &amp; Loor, I. W. (2020). Differences between reference and executed budget in public bidding processes. </w:t>
      </w:r>
      <w:r w:rsidRPr="00155C54">
        <w:rPr>
          <w:rFonts w:ascii="Arial" w:hAnsi="Arial" w:cs="Arial"/>
          <w:i/>
          <w:iCs/>
          <w:sz w:val="20"/>
          <w:szCs w:val="20"/>
          <w:lang w:val="es-ES"/>
        </w:rPr>
        <w:t>Revista San Gregorio</w:t>
      </w:r>
      <w:r w:rsidRPr="00155C54">
        <w:rPr>
          <w:rFonts w:ascii="Arial" w:hAnsi="Arial" w:cs="Arial"/>
          <w:sz w:val="20"/>
          <w:szCs w:val="20"/>
          <w:lang w:val="es-ES"/>
        </w:rPr>
        <w:t xml:space="preserve">, </w:t>
      </w:r>
      <w:r w:rsidRPr="00155C54">
        <w:rPr>
          <w:rFonts w:ascii="Arial" w:hAnsi="Arial" w:cs="Arial"/>
          <w:i/>
          <w:iCs/>
          <w:sz w:val="20"/>
          <w:szCs w:val="20"/>
          <w:lang w:val="es-ES"/>
        </w:rPr>
        <w:t>43</w:t>
      </w:r>
      <w:r w:rsidRPr="00155C54">
        <w:rPr>
          <w:rFonts w:ascii="Arial" w:hAnsi="Arial" w:cs="Arial"/>
          <w:sz w:val="20"/>
          <w:szCs w:val="20"/>
          <w:lang w:val="es-ES"/>
        </w:rPr>
        <w:t>, 1–20. https://doi.org/10.36097/rsan.v1i43.1445</w:t>
      </w:r>
    </w:p>
    <w:p w14:paraId="0C04A4A5"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Precinotto, A., Da Silva, L. N., &amp; De Aquino, A. C. (2023). Transparency in tender waivers in local governments during emergency situations. </w:t>
      </w:r>
      <w:r w:rsidRPr="00155C54">
        <w:rPr>
          <w:rFonts w:ascii="Arial" w:hAnsi="Arial" w:cs="Arial"/>
          <w:i/>
          <w:iCs/>
          <w:sz w:val="20"/>
          <w:szCs w:val="20"/>
          <w:lang w:val="es-ES"/>
        </w:rPr>
        <w:t>Revista Contabilidade e Financas</w:t>
      </w:r>
      <w:r w:rsidRPr="00155C54">
        <w:rPr>
          <w:rFonts w:ascii="Arial" w:hAnsi="Arial" w:cs="Arial"/>
          <w:sz w:val="20"/>
          <w:szCs w:val="20"/>
          <w:lang w:val="es-ES"/>
        </w:rPr>
        <w:t xml:space="preserve">, </w:t>
      </w:r>
      <w:r w:rsidRPr="00155C54">
        <w:rPr>
          <w:rFonts w:ascii="Arial" w:hAnsi="Arial" w:cs="Arial"/>
          <w:i/>
          <w:iCs/>
          <w:sz w:val="20"/>
          <w:szCs w:val="20"/>
          <w:lang w:val="es-ES"/>
        </w:rPr>
        <w:t>34</w:t>
      </w:r>
      <w:r w:rsidRPr="00155C54">
        <w:rPr>
          <w:rFonts w:ascii="Arial" w:hAnsi="Arial" w:cs="Arial"/>
          <w:sz w:val="20"/>
          <w:szCs w:val="20"/>
          <w:lang w:val="es-ES"/>
        </w:rPr>
        <w:t>(93), 1–16. https://doi.org/10.1590/1808-057X20231716.PT</w:t>
      </w:r>
    </w:p>
    <w:p w14:paraId="292D11C1"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Ribeiro, L. F., Filho, F., &amp; Misquita, R. P. (2023). Licitação pública como instrumento na gestão de projetos públicos para o desenvolvimento local na Amazônia. </w:t>
      </w:r>
      <w:r w:rsidRPr="00155C54">
        <w:rPr>
          <w:rFonts w:ascii="Arial" w:hAnsi="Arial" w:cs="Arial"/>
          <w:i/>
          <w:iCs/>
          <w:sz w:val="20"/>
          <w:szCs w:val="20"/>
          <w:lang w:val="es-ES"/>
        </w:rPr>
        <w:t>Revista de Gestão e Secretariado</w:t>
      </w:r>
      <w:r w:rsidRPr="00155C54">
        <w:rPr>
          <w:rFonts w:ascii="Arial" w:hAnsi="Arial" w:cs="Arial"/>
          <w:sz w:val="20"/>
          <w:szCs w:val="20"/>
          <w:lang w:val="es-ES"/>
        </w:rPr>
        <w:t xml:space="preserve">, </w:t>
      </w:r>
      <w:r w:rsidRPr="00155C54">
        <w:rPr>
          <w:rFonts w:ascii="Arial" w:hAnsi="Arial" w:cs="Arial"/>
          <w:i/>
          <w:iCs/>
          <w:sz w:val="20"/>
          <w:szCs w:val="20"/>
          <w:lang w:val="es-ES"/>
        </w:rPr>
        <w:t>14</w:t>
      </w:r>
      <w:r w:rsidRPr="00155C54">
        <w:rPr>
          <w:rFonts w:ascii="Arial" w:hAnsi="Arial" w:cs="Arial"/>
          <w:sz w:val="20"/>
          <w:szCs w:val="20"/>
          <w:lang w:val="es-ES"/>
        </w:rPr>
        <w:t>(8), 12694–12711. https://doi.org/10.7769/gesec.v14i8.2562</w:t>
      </w:r>
    </w:p>
    <w:p w14:paraId="410EDB5A"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Salvador, E. J., &amp; De São Pedro, F. (2023). Ferramenta multifacetada para controle de Plano de Contratações Anual. </w:t>
      </w:r>
      <w:r w:rsidRPr="00155C54">
        <w:rPr>
          <w:rFonts w:ascii="Arial" w:hAnsi="Arial" w:cs="Arial"/>
          <w:i/>
          <w:iCs/>
          <w:sz w:val="20"/>
          <w:szCs w:val="20"/>
          <w:lang w:val="es-ES"/>
        </w:rPr>
        <w:t>Revista de Gestão e Secretariado</w:t>
      </w:r>
      <w:r w:rsidRPr="00155C54">
        <w:rPr>
          <w:rFonts w:ascii="Arial" w:hAnsi="Arial" w:cs="Arial"/>
          <w:sz w:val="20"/>
          <w:szCs w:val="20"/>
          <w:lang w:val="es-ES"/>
        </w:rPr>
        <w:t xml:space="preserve">, </w:t>
      </w:r>
      <w:r w:rsidRPr="00155C54">
        <w:rPr>
          <w:rFonts w:ascii="Arial" w:hAnsi="Arial" w:cs="Arial"/>
          <w:i/>
          <w:iCs/>
          <w:sz w:val="20"/>
          <w:szCs w:val="20"/>
          <w:lang w:val="es-ES"/>
        </w:rPr>
        <w:t>14</w:t>
      </w:r>
      <w:r w:rsidRPr="00155C54">
        <w:rPr>
          <w:rFonts w:ascii="Arial" w:hAnsi="Arial" w:cs="Arial"/>
          <w:sz w:val="20"/>
          <w:szCs w:val="20"/>
          <w:lang w:val="es-ES"/>
        </w:rPr>
        <w:t>(7), 11396–11413.  https://doi.org/10.7769/gesec.v14i7.2240</w:t>
      </w:r>
    </w:p>
    <w:p w14:paraId="7201D50C"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Sarkis-Onofre, R., Catalá-López, F., Aromataris, E., &amp; Lockwood, C. (2021). How to properly use the PRISMA Statement. </w:t>
      </w:r>
      <w:r w:rsidRPr="00155C54">
        <w:rPr>
          <w:rFonts w:ascii="Arial" w:hAnsi="Arial" w:cs="Arial"/>
          <w:i/>
          <w:iCs/>
          <w:sz w:val="20"/>
          <w:szCs w:val="20"/>
          <w:lang w:val="es-ES"/>
        </w:rPr>
        <w:t>Systematic Reviews</w:t>
      </w:r>
      <w:r w:rsidRPr="00155C54">
        <w:rPr>
          <w:rFonts w:ascii="Arial" w:hAnsi="Arial" w:cs="Arial"/>
          <w:sz w:val="20"/>
          <w:szCs w:val="20"/>
          <w:lang w:val="es-ES"/>
        </w:rPr>
        <w:t xml:space="preserve">, </w:t>
      </w:r>
      <w:r w:rsidRPr="00155C54">
        <w:rPr>
          <w:rFonts w:ascii="Arial" w:hAnsi="Arial" w:cs="Arial"/>
          <w:i/>
          <w:iCs/>
          <w:sz w:val="20"/>
          <w:szCs w:val="20"/>
          <w:lang w:val="es-ES"/>
        </w:rPr>
        <w:t>10</w:t>
      </w:r>
      <w:r w:rsidRPr="00155C54">
        <w:rPr>
          <w:rFonts w:ascii="Arial" w:hAnsi="Arial" w:cs="Arial"/>
          <w:sz w:val="20"/>
          <w:szCs w:val="20"/>
          <w:lang w:val="es-ES"/>
        </w:rPr>
        <w:t>(1), 1–3. https://doi.org/10.1186/S13643-021-01671-Z/METRICS</w:t>
      </w:r>
    </w:p>
    <w:p w14:paraId="4B5726E5"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Simonaitis, A., Daukšys, M., &amp; Mockienė, J. (2023). </w:t>
      </w:r>
      <w:r w:rsidR="009B2A0B" w:rsidRPr="00155C54">
        <w:rPr>
          <w:rFonts w:ascii="Arial" w:hAnsi="Arial" w:cs="Arial"/>
          <w:sz w:val="20"/>
          <w:szCs w:val="20"/>
          <w:lang w:val="es-ES"/>
        </w:rPr>
        <w:t>A comparison of the project management methodologies PRINCE2 and PMBOK in managing repetitive construction projects</w:t>
      </w:r>
      <w:r w:rsidRPr="00155C54">
        <w:rPr>
          <w:rFonts w:ascii="Arial" w:hAnsi="Arial" w:cs="Arial"/>
          <w:sz w:val="20"/>
          <w:szCs w:val="20"/>
          <w:lang w:val="es-ES"/>
        </w:rPr>
        <w:t xml:space="preserve">. </w:t>
      </w:r>
      <w:r w:rsidRPr="00155C54">
        <w:rPr>
          <w:rFonts w:ascii="Arial" w:hAnsi="Arial" w:cs="Arial"/>
          <w:i/>
          <w:iCs/>
          <w:sz w:val="20"/>
          <w:szCs w:val="20"/>
          <w:lang w:val="es-ES"/>
        </w:rPr>
        <w:t>Buildings</w:t>
      </w:r>
      <w:r w:rsidRPr="00155C54">
        <w:rPr>
          <w:rFonts w:ascii="Arial" w:hAnsi="Arial" w:cs="Arial"/>
          <w:sz w:val="20"/>
          <w:szCs w:val="20"/>
          <w:lang w:val="es-ES"/>
        </w:rPr>
        <w:t xml:space="preserve">, </w:t>
      </w:r>
      <w:r w:rsidRPr="00155C54">
        <w:rPr>
          <w:rFonts w:ascii="Arial" w:hAnsi="Arial" w:cs="Arial"/>
          <w:i/>
          <w:iCs/>
          <w:sz w:val="20"/>
          <w:szCs w:val="20"/>
          <w:lang w:val="es-ES"/>
        </w:rPr>
        <w:t>13</w:t>
      </w:r>
      <w:r w:rsidRPr="00155C54">
        <w:rPr>
          <w:rFonts w:ascii="Arial" w:hAnsi="Arial" w:cs="Arial"/>
          <w:sz w:val="20"/>
          <w:szCs w:val="20"/>
          <w:lang w:val="es-ES"/>
        </w:rPr>
        <w:t>(7), 1796. https://doi.org/10.3390/BUILDINGS13071796</w:t>
      </w:r>
    </w:p>
    <w:p w14:paraId="697BEAA4"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Souza, C. (2017). Modernização do Estado e construção de capacidade burocrática para a implementação de políticas federalizadas. </w:t>
      </w:r>
      <w:r w:rsidRPr="00155C54">
        <w:rPr>
          <w:rFonts w:ascii="Arial" w:hAnsi="Arial" w:cs="Arial"/>
          <w:i/>
          <w:iCs/>
          <w:sz w:val="20"/>
          <w:szCs w:val="20"/>
          <w:lang w:val="es-ES"/>
        </w:rPr>
        <w:t>Revista de Administração Pública</w:t>
      </w:r>
      <w:r w:rsidRPr="00155C54">
        <w:rPr>
          <w:rFonts w:ascii="Arial" w:hAnsi="Arial" w:cs="Arial"/>
          <w:sz w:val="20"/>
          <w:szCs w:val="20"/>
          <w:lang w:val="es-ES"/>
        </w:rPr>
        <w:t xml:space="preserve">, </w:t>
      </w:r>
      <w:r w:rsidRPr="00155C54">
        <w:rPr>
          <w:rFonts w:ascii="Arial" w:hAnsi="Arial" w:cs="Arial"/>
          <w:i/>
          <w:iCs/>
          <w:sz w:val="20"/>
          <w:szCs w:val="20"/>
          <w:lang w:val="es-ES"/>
        </w:rPr>
        <w:t>51</w:t>
      </w:r>
      <w:r w:rsidRPr="00155C54">
        <w:rPr>
          <w:rFonts w:ascii="Arial" w:hAnsi="Arial" w:cs="Arial"/>
          <w:sz w:val="20"/>
          <w:szCs w:val="20"/>
          <w:lang w:val="es-ES"/>
        </w:rPr>
        <w:t>(1), 27–45. https://doi.org/10.1590/0034-7612150933</w:t>
      </w:r>
    </w:p>
    <w:p w14:paraId="51E5926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Stanitsas, M., Kirytopoulos, K., &amp; Leopoulos, V. (2021). Integrating sustainability indicators into project management: The case of construction industry. </w:t>
      </w:r>
      <w:r w:rsidRPr="00155C54">
        <w:rPr>
          <w:rFonts w:ascii="Arial" w:hAnsi="Arial" w:cs="Arial"/>
          <w:i/>
          <w:iCs/>
          <w:sz w:val="20"/>
          <w:szCs w:val="20"/>
          <w:lang w:val="es-ES"/>
        </w:rPr>
        <w:t>Journal of Cleaner Production</w:t>
      </w:r>
      <w:r w:rsidRPr="00155C54">
        <w:rPr>
          <w:rFonts w:ascii="Arial" w:hAnsi="Arial" w:cs="Arial"/>
          <w:sz w:val="20"/>
          <w:szCs w:val="20"/>
          <w:lang w:val="es-ES"/>
        </w:rPr>
        <w:t xml:space="preserve">, </w:t>
      </w:r>
      <w:r w:rsidRPr="00155C54">
        <w:rPr>
          <w:rFonts w:ascii="Arial" w:hAnsi="Arial" w:cs="Arial"/>
          <w:i/>
          <w:iCs/>
          <w:sz w:val="20"/>
          <w:szCs w:val="20"/>
          <w:lang w:val="es-ES"/>
        </w:rPr>
        <w:t>279</w:t>
      </w:r>
      <w:r w:rsidRPr="00155C54">
        <w:rPr>
          <w:rFonts w:ascii="Arial" w:hAnsi="Arial" w:cs="Arial"/>
          <w:sz w:val="20"/>
          <w:szCs w:val="20"/>
          <w:lang w:val="es-ES"/>
        </w:rPr>
        <w:t>, 123774. https://doi.org/10.1016/j.jclepro.2020.123774</w:t>
      </w:r>
    </w:p>
    <w:p w14:paraId="6F2E9125"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Takagi, N., Varajão, J., Ventura, T., Ubialli, D., &amp; Silva, T. (2024). Managing success criteria and success factors in a BPM project: an approach using PRINCE2 and Success Management on the public sector. </w:t>
      </w:r>
      <w:r w:rsidRPr="00155C54">
        <w:rPr>
          <w:rFonts w:ascii="Arial" w:hAnsi="Arial" w:cs="Arial"/>
          <w:i/>
          <w:iCs/>
          <w:sz w:val="20"/>
          <w:szCs w:val="20"/>
          <w:lang w:val="es-ES"/>
        </w:rPr>
        <w:t>Cogent Business &amp; Management</w:t>
      </w:r>
      <w:r w:rsidRPr="00155C54">
        <w:rPr>
          <w:rFonts w:ascii="Arial" w:hAnsi="Arial" w:cs="Arial"/>
          <w:sz w:val="20"/>
          <w:szCs w:val="20"/>
          <w:lang w:val="es-ES"/>
        </w:rPr>
        <w:t xml:space="preserve">, </w:t>
      </w:r>
      <w:r w:rsidRPr="00155C54">
        <w:rPr>
          <w:rFonts w:ascii="Arial" w:hAnsi="Arial" w:cs="Arial"/>
          <w:i/>
          <w:iCs/>
          <w:sz w:val="20"/>
          <w:szCs w:val="20"/>
          <w:lang w:val="es-ES"/>
        </w:rPr>
        <w:t>11</w:t>
      </w:r>
      <w:r w:rsidRPr="00155C54">
        <w:rPr>
          <w:rFonts w:ascii="Arial" w:hAnsi="Arial" w:cs="Arial"/>
          <w:sz w:val="20"/>
          <w:szCs w:val="20"/>
          <w:lang w:val="es-ES"/>
        </w:rPr>
        <w:t>(1), 2336273. https://doi.org/10.1080/23311975.2024.2336273</w:t>
      </w:r>
    </w:p>
    <w:p w14:paraId="688331D3"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Treviño-Lozano, L. (2021). </w:t>
      </w:r>
      <w:r w:rsidR="00ED2701" w:rsidRPr="00155C54">
        <w:rPr>
          <w:rFonts w:ascii="Arial" w:hAnsi="Arial" w:cs="Arial"/>
          <w:sz w:val="20"/>
          <w:szCs w:val="20"/>
          <w:lang w:val="es-ES"/>
        </w:rPr>
        <w:t>Sustainable public procurement and human rights: barriers to deliver on socially sustainable road infrastructure projects in Mexico</w:t>
      </w:r>
      <w:r w:rsidRPr="00155C54">
        <w:rPr>
          <w:rFonts w:ascii="Arial" w:hAnsi="Arial" w:cs="Arial"/>
          <w:sz w:val="20"/>
          <w:szCs w:val="20"/>
          <w:lang w:val="es-ES"/>
        </w:rPr>
        <w:t xml:space="preserve">. </w:t>
      </w:r>
      <w:r w:rsidRPr="00155C54">
        <w:rPr>
          <w:rFonts w:ascii="Arial" w:hAnsi="Arial" w:cs="Arial"/>
          <w:i/>
          <w:iCs/>
          <w:sz w:val="20"/>
          <w:szCs w:val="20"/>
          <w:lang w:val="es-ES"/>
        </w:rPr>
        <w:t>Sustainability</w:t>
      </w:r>
      <w:r w:rsidRPr="00155C54">
        <w:rPr>
          <w:rFonts w:ascii="Arial" w:hAnsi="Arial" w:cs="Arial"/>
          <w:sz w:val="20"/>
          <w:szCs w:val="20"/>
          <w:lang w:val="es-ES"/>
        </w:rPr>
        <w:t xml:space="preserve">, </w:t>
      </w:r>
      <w:r w:rsidRPr="00155C54">
        <w:rPr>
          <w:rFonts w:ascii="Arial" w:hAnsi="Arial" w:cs="Arial"/>
          <w:i/>
          <w:iCs/>
          <w:sz w:val="20"/>
          <w:szCs w:val="20"/>
          <w:lang w:val="es-ES"/>
        </w:rPr>
        <w:t>13</w:t>
      </w:r>
      <w:r w:rsidRPr="00155C54">
        <w:rPr>
          <w:rFonts w:ascii="Arial" w:hAnsi="Arial" w:cs="Arial"/>
          <w:sz w:val="20"/>
          <w:szCs w:val="20"/>
          <w:lang w:val="es-ES"/>
        </w:rPr>
        <w:t>(17), 9605. https://doi.org/10.3390/SU13179605</w:t>
      </w:r>
    </w:p>
    <w:p w14:paraId="0C1B4F63"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Vázquez-Rowe, I., Córdova-Arias, C., Brioso, X., &amp; Santa-Cruz, S. (2021). </w:t>
      </w:r>
      <w:r w:rsidR="00ED2701" w:rsidRPr="00155C54">
        <w:rPr>
          <w:rFonts w:ascii="Arial" w:hAnsi="Arial" w:cs="Arial"/>
          <w:sz w:val="20"/>
          <w:szCs w:val="20"/>
          <w:lang w:val="es-ES"/>
        </w:rPr>
        <w:t>A method to include life cycle assessment results in Choosing by Advantage (CBA) multicriteria decision analysis. A case study for seismic retrofit in Peruvian primary schools</w:t>
      </w:r>
      <w:r w:rsidRPr="00155C54">
        <w:rPr>
          <w:rFonts w:ascii="Arial" w:hAnsi="Arial" w:cs="Arial"/>
          <w:sz w:val="20"/>
          <w:szCs w:val="20"/>
          <w:lang w:val="es-ES"/>
        </w:rPr>
        <w:t xml:space="preserve">. </w:t>
      </w:r>
      <w:r w:rsidRPr="00155C54">
        <w:rPr>
          <w:rFonts w:ascii="Arial" w:hAnsi="Arial" w:cs="Arial"/>
          <w:i/>
          <w:iCs/>
          <w:sz w:val="20"/>
          <w:szCs w:val="20"/>
          <w:lang w:val="es-ES"/>
        </w:rPr>
        <w:t>Sustainability</w:t>
      </w:r>
      <w:r w:rsidRPr="00155C54">
        <w:rPr>
          <w:rFonts w:ascii="Arial" w:hAnsi="Arial" w:cs="Arial"/>
          <w:sz w:val="20"/>
          <w:szCs w:val="20"/>
          <w:lang w:val="es-ES"/>
        </w:rPr>
        <w:t xml:space="preserve">, </w:t>
      </w:r>
      <w:r w:rsidRPr="00155C54">
        <w:rPr>
          <w:rFonts w:ascii="Arial" w:hAnsi="Arial" w:cs="Arial"/>
          <w:i/>
          <w:iCs/>
          <w:sz w:val="20"/>
          <w:szCs w:val="20"/>
          <w:lang w:val="es-ES"/>
        </w:rPr>
        <w:t>13</w:t>
      </w:r>
      <w:r w:rsidRPr="00155C54">
        <w:rPr>
          <w:rFonts w:ascii="Arial" w:hAnsi="Arial" w:cs="Arial"/>
          <w:sz w:val="20"/>
          <w:szCs w:val="20"/>
          <w:lang w:val="es-ES"/>
        </w:rPr>
        <w:t>(15), 8139. https://doi.org/10.3390/SU13158139</w:t>
      </w:r>
    </w:p>
    <w:p w14:paraId="0EC13361"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Xiansheng, X. (2023). </w:t>
      </w:r>
      <w:r w:rsidR="00ED2701" w:rsidRPr="00155C54">
        <w:rPr>
          <w:rFonts w:ascii="Arial" w:hAnsi="Arial" w:cs="Arial"/>
          <w:sz w:val="20"/>
          <w:szCs w:val="20"/>
          <w:lang w:val="es-ES"/>
        </w:rPr>
        <w:t>Statutory ways for the government procurement of public services</w:t>
      </w:r>
      <w:r w:rsidRPr="00155C54">
        <w:rPr>
          <w:rFonts w:ascii="Arial" w:hAnsi="Arial" w:cs="Arial"/>
          <w:sz w:val="20"/>
          <w:szCs w:val="20"/>
          <w:lang w:val="es-ES"/>
        </w:rPr>
        <w:t xml:space="preserve">. </w:t>
      </w:r>
      <w:r w:rsidRPr="00155C54">
        <w:rPr>
          <w:rFonts w:ascii="Arial" w:hAnsi="Arial" w:cs="Arial"/>
          <w:i/>
          <w:iCs/>
          <w:sz w:val="20"/>
          <w:szCs w:val="20"/>
          <w:lang w:val="es-ES"/>
        </w:rPr>
        <w:t>Public Procurement in Chinese Law and Practice</w:t>
      </w:r>
      <w:r w:rsidRPr="00155C54">
        <w:rPr>
          <w:rFonts w:ascii="Arial" w:hAnsi="Arial" w:cs="Arial"/>
          <w:sz w:val="20"/>
          <w:szCs w:val="20"/>
          <w:lang w:val="es-ES"/>
        </w:rPr>
        <w:t>, 137–185. https://doi.org/10.1007/978-981-99-1047-2_6</w:t>
      </w:r>
    </w:p>
    <w:p w14:paraId="24DCBC5F"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Yabar-Ardiles, O., Sanchez-Carigga, C., Espinoza, A. J., Guillén, M. S., &amp; Milón, A. A. (2023). </w:t>
      </w:r>
      <w:r w:rsidR="00ED2701" w:rsidRPr="00155C54">
        <w:rPr>
          <w:rFonts w:ascii="Arial" w:hAnsi="Arial" w:cs="Arial"/>
          <w:sz w:val="20"/>
          <w:szCs w:val="20"/>
          <w:lang w:val="es-ES"/>
        </w:rPr>
        <w:t>Seeking the optimisation of public infrastructure procurement with NEC4 ECC: a Peruvian case study</w:t>
      </w:r>
      <w:r w:rsidRPr="00155C54">
        <w:rPr>
          <w:rFonts w:ascii="Arial" w:hAnsi="Arial" w:cs="Arial"/>
          <w:sz w:val="20"/>
          <w:szCs w:val="20"/>
          <w:lang w:val="es-ES"/>
        </w:rPr>
        <w:t xml:space="preserve">. </w:t>
      </w:r>
      <w:r w:rsidRPr="00155C54">
        <w:rPr>
          <w:rFonts w:ascii="Arial" w:hAnsi="Arial" w:cs="Arial"/>
          <w:i/>
          <w:iCs/>
          <w:sz w:val="20"/>
          <w:szCs w:val="20"/>
          <w:lang w:val="es-ES"/>
        </w:rPr>
        <w:t>Buildings</w:t>
      </w:r>
      <w:r w:rsidRPr="00155C54">
        <w:rPr>
          <w:rFonts w:ascii="Arial" w:hAnsi="Arial" w:cs="Arial"/>
          <w:sz w:val="20"/>
          <w:szCs w:val="20"/>
          <w:lang w:val="es-ES"/>
        </w:rPr>
        <w:t xml:space="preserve">, </w:t>
      </w:r>
      <w:r w:rsidRPr="00155C54">
        <w:rPr>
          <w:rFonts w:ascii="Arial" w:hAnsi="Arial" w:cs="Arial"/>
          <w:i/>
          <w:iCs/>
          <w:sz w:val="20"/>
          <w:szCs w:val="20"/>
          <w:lang w:val="es-ES"/>
        </w:rPr>
        <w:t>13</w:t>
      </w:r>
      <w:r w:rsidRPr="00155C54">
        <w:rPr>
          <w:rFonts w:ascii="Arial" w:hAnsi="Arial" w:cs="Arial"/>
          <w:sz w:val="20"/>
          <w:szCs w:val="20"/>
          <w:lang w:val="es-ES"/>
        </w:rPr>
        <w:t>(11), 2828. https://doi.org/10.3390/buildings13112828</w:t>
      </w:r>
    </w:p>
    <w:p w14:paraId="433361D4" w14:textId="77777777" w:rsidR="00B62AE9" w:rsidRPr="00155C54" w:rsidRDefault="00B62AE9" w:rsidP="00B62AE9">
      <w:pPr>
        <w:spacing w:after="0" w:line="240" w:lineRule="auto"/>
        <w:ind w:left="709" w:hanging="709"/>
        <w:jc w:val="both"/>
        <w:rPr>
          <w:rFonts w:ascii="Arial" w:hAnsi="Arial" w:cs="Arial"/>
          <w:sz w:val="20"/>
          <w:szCs w:val="20"/>
          <w:lang w:val="es-PE"/>
        </w:rPr>
      </w:pPr>
      <w:r w:rsidRPr="00155C54">
        <w:rPr>
          <w:rFonts w:ascii="Arial" w:hAnsi="Arial" w:cs="Arial"/>
          <w:sz w:val="20"/>
          <w:szCs w:val="20"/>
        </w:rPr>
        <w:fldChar w:fldCharType="end"/>
      </w:r>
    </w:p>
    <w:p w14:paraId="253CC946" w14:textId="77777777" w:rsidR="00B62AE9" w:rsidRPr="00155C54" w:rsidRDefault="00B62AE9" w:rsidP="00ED2701">
      <w:pPr>
        <w:spacing w:after="0" w:line="240" w:lineRule="auto"/>
        <w:jc w:val="both"/>
        <w:rPr>
          <w:rFonts w:ascii="Arial" w:hAnsi="Arial" w:cs="Arial"/>
          <w:b/>
          <w:sz w:val="20"/>
          <w:szCs w:val="20"/>
          <w:lang w:val="en-US"/>
        </w:rPr>
      </w:pPr>
      <w:r w:rsidRPr="00155C54">
        <w:rPr>
          <w:rFonts w:ascii="Arial" w:hAnsi="Arial" w:cs="Arial"/>
          <w:sz w:val="20"/>
          <w:szCs w:val="20"/>
        </w:rPr>
        <w:fldChar w:fldCharType="end"/>
      </w:r>
    </w:p>
    <w:p w14:paraId="2802524E" w14:textId="77777777" w:rsidR="00B62AE9" w:rsidRPr="00155C54" w:rsidRDefault="00B62AE9" w:rsidP="00ED2701">
      <w:pPr>
        <w:spacing w:after="0" w:line="240" w:lineRule="auto"/>
        <w:jc w:val="both"/>
        <w:rPr>
          <w:rFonts w:ascii="Arial" w:hAnsi="Arial" w:cs="Arial"/>
          <w:b/>
          <w:sz w:val="20"/>
          <w:szCs w:val="20"/>
          <w:lang w:val="es-MX"/>
        </w:rPr>
      </w:pPr>
      <w:r w:rsidRPr="00155C54">
        <w:rPr>
          <w:rFonts w:ascii="Arial" w:hAnsi="Arial" w:cs="Arial"/>
          <w:b/>
          <w:sz w:val="20"/>
          <w:szCs w:val="20"/>
          <w:lang w:val="es-ES"/>
        </w:rPr>
        <w:t>CONTRIBUCIÓN DE LA AUTORÍA:</w:t>
      </w:r>
    </w:p>
    <w:p w14:paraId="7C1C45EF"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1. Conceptualización: Katia Ormeño </w:t>
      </w:r>
      <w:proofErr w:type="spellStart"/>
      <w:r w:rsidRPr="00155C54">
        <w:rPr>
          <w:rFonts w:ascii="Arial" w:hAnsi="Arial" w:cs="Arial"/>
          <w:sz w:val="20"/>
          <w:szCs w:val="20"/>
          <w:lang w:val="es-ES"/>
        </w:rPr>
        <w:t>Yomona</w:t>
      </w:r>
      <w:proofErr w:type="spellEnd"/>
      <w:r w:rsidRPr="00155C54">
        <w:rPr>
          <w:rFonts w:ascii="Arial" w:hAnsi="Arial" w:cs="Arial"/>
          <w:sz w:val="20"/>
          <w:szCs w:val="20"/>
          <w:lang w:val="es-ES"/>
        </w:rPr>
        <w:t xml:space="preserve"> de Alcalde</w:t>
      </w:r>
    </w:p>
    <w:p w14:paraId="63B3EC97"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2. Curación de datos: </w:t>
      </w:r>
      <w:proofErr w:type="spellStart"/>
      <w:r w:rsidRPr="00155C54">
        <w:rPr>
          <w:rFonts w:ascii="Arial" w:hAnsi="Arial" w:cs="Arial"/>
          <w:sz w:val="20"/>
          <w:szCs w:val="20"/>
          <w:lang w:val="es-ES"/>
        </w:rPr>
        <w:t>Josue</w:t>
      </w:r>
      <w:proofErr w:type="spellEnd"/>
      <w:r w:rsidRPr="00155C54">
        <w:rPr>
          <w:rFonts w:ascii="Arial" w:hAnsi="Arial" w:cs="Arial"/>
          <w:sz w:val="20"/>
          <w:szCs w:val="20"/>
          <w:lang w:val="es-ES"/>
        </w:rPr>
        <w:t xml:space="preserve"> Nina-Cuchillo</w:t>
      </w:r>
    </w:p>
    <w:p w14:paraId="088845FC"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3. Análisis formal: Katia Ormeño </w:t>
      </w:r>
      <w:proofErr w:type="spellStart"/>
      <w:r w:rsidRPr="00155C54">
        <w:rPr>
          <w:rFonts w:ascii="Arial" w:hAnsi="Arial" w:cs="Arial"/>
          <w:sz w:val="20"/>
          <w:szCs w:val="20"/>
          <w:lang w:val="es-ES"/>
        </w:rPr>
        <w:t>Yomona</w:t>
      </w:r>
      <w:proofErr w:type="spellEnd"/>
      <w:r w:rsidRPr="00155C54">
        <w:rPr>
          <w:rFonts w:ascii="Arial" w:hAnsi="Arial" w:cs="Arial"/>
          <w:sz w:val="20"/>
          <w:szCs w:val="20"/>
          <w:lang w:val="es-ES"/>
        </w:rPr>
        <w:t xml:space="preserve"> de Alcalde</w:t>
      </w:r>
    </w:p>
    <w:p w14:paraId="6EF181F3"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4. Adquisición de fondos: Katia Ormeño </w:t>
      </w:r>
      <w:proofErr w:type="spellStart"/>
      <w:r w:rsidRPr="00155C54">
        <w:rPr>
          <w:rFonts w:ascii="Arial" w:hAnsi="Arial" w:cs="Arial"/>
          <w:sz w:val="20"/>
          <w:szCs w:val="20"/>
          <w:lang w:val="es-ES"/>
        </w:rPr>
        <w:t>Yomona</w:t>
      </w:r>
      <w:proofErr w:type="spellEnd"/>
      <w:r w:rsidRPr="00155C54">
        <w:rPr>
          <w:rFonts w:ascii="Arial" w:hAnsi="Arial" w:cs="Arial"/>
          <w:sz w:val="20"/>
          <w:szCs w:val="20"/>
          <w:lang w:val="es-ES"/>
        </w:rPr>
        <w:t xml:space="preserve"> de Alcalde, </w:t>
      </w:r>
      <w:proofErr w:type="spellStart"/>
      <w:r w:rsidRPr="00155C54">
        <w:rPr>
          <w:rFonts w:ascii="Arial" w:hAnsi="Arial" w:cs="Arial"/>
          <w:sz w:val="20"/>
          <w:szCs w:val="20"/>
          <w:lang w:val="es-ES"/>
        </w:rPr>
        <w:t>Josue</w:t>
      </w:r>
      <w:proofErr w:type="spellEnd"/>
      <w:r w:rsidRPr="00155C54">
        <w:rPr>
          <w:rFonts w:ascii="Arial" w:hAnsi="Arial" w:cs="Arial"/>
          <w:sz w:val="20"/>
          <w:szCs w:val="20"/>
          <w:lang w:val="es-ES"/>
        </w:rPr>
        <w:t xml:space="preserve"> Nina-Cuchillo, Flor de María Sánchez Aguirre</w:t>
      </w:r>
    </w:p>
    <w:p w14:paraId="42134A54"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5. Investigación: Katia Ormeño </w:t>
      </w:r>
      <w:proofErr w:type="spellStart"/>
      <w:r w:rsidRPr="00155C54">
        <w:rPr>
          <w:rFonts w:ascii="Arial" w:hAnsi="Arial" w:cs="Arial"/>
          <w:sz w:val="20"/>
          <w:szCs w:val="20"/>
          <w:lang w:val="es-ES"/>
        </w:rPr>
        <w:t>Yomona</w:t>
      </w:r>
      <w:proofErr w:type="spellEnd"/>
      <w:r w:rsidRPr="00155C54">
        <w:rPr>
          <w:rFonts w:ascii="Arial" w:hAnsi="Arial" w:cs="Arial"/>
          <w:sz w:val="20"/>
          <w:szCs w:val="20"/>
          <w:lang w:val="es-ES"/>
        </w:rPr>
        <w:t xml:space="preserve"> de Alcalde</w:t>
      </w:r>
    </w:p>
    <w:p w14:paraId="79174683"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6. Metodología: Flor de María Sánchez Aguirre</w:t>
      </w:r>
    </w:p>
    <w:p w14:paraId="0CF9132B"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7. Dirección del proyecto: </w:t>
      </w:r>
      <w:proofErr w:type="spellStart"/>
      <w:r w:rsidRPr="00155C54">
        <w:rPr>
          <w:rFonts w:ascii="Arial" w:hAnsi="Arial" w:cs="Arial"/>
          <w:sz w:val="20"/>
          <w:szCs w:val="20"/>
          <w:lang w:val="es-ES"/>
        </w:rPr>
        <w:t>Josue</w:t>
      </w:r>
      <w:proofErr w:type="spellEnd"/>
      <w:r w:rsidRPr="00155C54">
        <w:rPr>
          <w:rFonts w:ascii="Arial" w:hAnsi="Arial" w:cs="Arial"/>
          <w:sz w:val="20"/>
          <w:szCs w:val="20"/>
          <w:lang w:val="es-ES"/>
        </w:rPr>
        <w:t xml:space="preserve"> Nina-Cuchillo</w:t>
      </w:r>
    </w:p>
    <w:p w14:paraId="4A610A99"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8. Recursos: Katia Ormeño </w:t>
      </w:r>
      <w:proofErr w:type="spellStart"/>
      <w:r w:rsidRPr="00155C54">
        <w:rPr>
          <w:rFonts w:ascii="Arial" w:hAnsi="Arial" w:cs="Arial"/>
          <w:sz w:val="20"/>
          <w:szCs w:val="20"/>
          <w:lang w:val="es-ES"/>
        </w:rPr>
        <w:t>Yomona</w:t>
      </w:r>
      <w:proofErr w:type="spellEnd"/>
      <w:r w:rsidRPr="00155C54">
        <w:rPr>
          <w:rFonts w:ascii="Arial" w:hAnsi="Arial" w:cs="Arial"/>
          <w:sz w:val="20"/>
          <w:szCs w:val="20"/>
          <w:lang w:val="es-ES"/>
        </w:rPr>
        <w:t xml:space="preserve"> de Alcalde</w:t>
      </w:r>
    </w:p>
    <w:p w14:paraId="07E06F5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9. Software: </w:t>
      </w:r>
      <w:proofErr w:type="spellStart"/>
      <w:r w:rsidRPr="00155C54">
        <w:rPr>
          <w:rFonts w:ascii="Arial" w:hAnsi="Arial" w:cs="Arial"/>
          <w:sz w:val="20"/>
          <w:szCs w:val="20"/>
          <w:lang w:val="es-ES"/>
        </w:rPr>
        <w:t>Josue</w:t>
      </w:r>
      <w:proofErr w:type="spellEnd"/>
      <w:r w:rsidRPr="00155C54">
        <w:rPr>
          <w:rFonts w:ascii="Arial" w:hAnsi="Arial" w:cs="Arial"/>
          <w:sz w:val="20"/>
          <w:szCs w:val="20"/>
          <w:lang w:val="es-ES"/>
        </w:rPr>
        <w:t xml:space="preserve"> Nina-Cuchillo</w:t>
      </w:r>
    </w:p>
    <w:p w14:paraId="481C3BB0"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10. Supervisión: Flor de María Sánchez Aguirre</w:t>
      </w:r>
    </w:p>
    <w:p w14:paraId="7E2ABC0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11. Validación: Flor de María Sánchez Aguirre</w:t>
      </w:r>
    </w:p>
    <w:p w14:paraId="487C6ABA"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12. Visualización: Katia Ormeño </w:t>
      </w:r>
      <w:proofErr w:type="spellStart"/>
      <w:r w:rsidRPr="00155C54">
        <w:rPr>
          <w:rFonts w:ascii="Arial" w:hAnsi="Arial" w:cs="Arial"/>
          <w:sz w:val="20"/>
          <w:szCs w:val="20"/>
          <w:lang w:val="es-ES"/>
        </w:rPr>
        <w:t>Yomona</w:t>
      </w:r>
      <w:proofErr w:type="spellEnd"/>
      <w:r w:rsidRPr="00155C54">
        <w:rPr>
          <w:rFonts w:ascii="Arial" w:hAnsi="Arial" w:cs="Arial"/>
          <w:sz w:val="20"/>
          <w:szCs w:val="20"/>
          <w:lang w:val="es-ES"/>
        </w:rPr>
        <w:t xml:space="preserve"> de Alcalde</w:t>
      </w:r>
    </w:p>
    <w:p w14:paraId="68174A18" w14:textId="77777777" w:rsidR="00B62AE9" w:rsidRPr="00155C54"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13. Redacción - borrador original: </w:t>
      </w:r>
      <w:proofErr w:type="spellStart"/>
      <w:r w:rsidRPr="00155C54">
        <w:rPr>
          <w:rFonts w:ascii="Arial" w:hAnsi="Arial" w:cs="Arial"/>
          <w:sz w:val="20"/>
          <w:szCs w:val="20"/>
          <w:lang w:val="es-ES"/>
        </w:rPr>
        <w:t>Josue</w:t>
      </w:r>
      <w:proofErr w:type="spellEnd"/>
      <w:r w:rsidRPr="00155C54">
        <w:rPr>
          <w:rFonts w:ascii="Arial" w:hAnsi="Arial" w:cs="Arial"/>
          <w:sz w:val="20"/>
          <w:szCs w:val="20"/>
          <w:lang w:val="es-ES"/>
        </w:rPr>
        <w:t xml:space="preserve"> Nina-Cuchillo</w:t>
      </w:r>
    </w:p>
    <w:p w14:paraId="60826378" w14:textId="77777777" w:rsidR="00B62AE9" w:rsidRPr="00B62AE9" w:rsidRDefault="00B62AE9" w:rsidP="00B62AE9">
      <w:pPr>
        <w:spacing w:after="0" w:line="240" w:lineRule="auto"/>
        <w:ind w:left="709" w:hanging="709"/>
        <w:jc w:val="both"/>
        <w:rPr>
          <w:rFonts w:ascii="Arial" w:hAnsi="Arial" w:cs="Arial"/>
          <w:sz w:val="20"/>
          <w:szCs w:val="20"/>
          <w:lang w:val="es-ES"/>
        </w:rPr>
      </w:pPr>
      <w:r w:rsidRPr="00155C54">
        <w:rPr>
          <w:rFonts w:ascii="Arial" w:hAnsi="Arial" w:cs="Arial"/>
          <w:sz w:val="20"/>
          <w:szCs w:val="20"/>
          <w:lang w:val="es-ES"/>
        </w:rPr>
        <w:t xml:space="preserve">14. Redacción - corrección de pruebas y edición: </w:t>
      </w:r>
      <w:proofErr w:type="spellStart"/>
      <w:r w:rsidRPr="00155C54">
        <w:rPr>
          <w:rFonts w:ascii="Arial" w:hAnsi="Arial" w:cs="Arial"/>
          <w:sz w:val="20"/>
          <w:szCs w:val="20"/>
          <w:lang w:val="es-ES"/>
        </w:rPr>
        <w:t>Josue</w:t>
      </w:r>
      <w:proofErr w:type="spellEnd"/>
      <w:r w:rsidRPr="00155C54">
        <w:rPr>
          <w:rFonts w:ascii="Arial" w:hAnsi="Arial" w:cs="Arial"/>
          <w:sz w:val="20"/>
          <w:szCs w:val="20"/>
          <w:lang w:val="es-ES"/>
        </w:rPr>
        <w:t xml:space="preserve"> Nina-Cuchillo</w:t>
      </w:r>
    </w:p>
    <w:p w14:paraId="052EC9E4" w14:textId="77777777" w:rsidR="00683E7D" w:rsidRPr="00B62AE9" w:rsidRDefault="00683E7D" w:rsidP="00B62AE9">
      <w:pPr>
        <w:spacing w:after="0" w:line="240" w:lineRule="auto"/>
        <w:ind w:left="709" w:hanging="709"/>
        <w:jc w:val="both"/>
        <w:rPr>
          <w:rFonts w:ascii="Arial" w:hAnsi="Arial" w:cs="Arial"/>
          <w:sz w:val="20"/>
          <w:szCs w:val="20"/>
          <w:lang w:val="es-ES"/>
        </w:rPr>
      </w:pPr>
    </w:p>
    <w:sectPr w:rsidR="00683E7D" w:rsidRPr="00B62AE9" w:rsidSect="00627E06">
      <w:footerReference w:type="default" r:id="rId9"/>
      <w:footerReference w:type="first" r:id="rId10"/>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D4991" w14:textId="77777777" w:rsidR="00A324D1" w:rsidRDefault="00A324D1" w:rsidP="00683E7D">
      <w:pPr>
        <w:spacing w:after="0" w:line="240" w:lineRule="auto"/>
      </w:pPr>
      <w:r>
        <w:separator/>
      </w:r>
    </w:p>
  </w:endnote>
  <w:endnote w:type="continuationSeparator" w:id="0">
    <w:p w14:paraId="1CE8672F" w14:textId="77777777" w:rsidR="00A324D1" w:rsidRDefault="00A324D1"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oppins Black">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7E82" w14:textId="5AD21400" w:rsidR="00AF54DE" w:rsidRPr="00627E06" w:rsidRDefault="00AF54DE" w:rsidP="00B62AE9">
    <w:pPr>
      <w:spacing w:after="0" w:line="240" w:lineRule="auto"/>
      <w:jc w:val="both"/>
      <w:rPr>
        <w:rFonts w:ascii="Prompt" w:hAnsi="Prompt" w:cs="Prompt"/>
        <w:color w:val="1C4894"/>
        <w:sz w:val="16"/>
        <w:szCs w:val="16"/>
      </w:rPr>
    </w:pPr>
    <w:r>
      <w:rPr>
        <w:rFonts w:ascii="Prompt" w:hAnsi="Prompt" w:cs="Prompt"/>
        <w:color w:val="1C4894"/>
        <w:sz w:val="16"/>
        <w:szCs w:val="16"/>
      </w:rPr>
      <w:t xml:space="preserve">Ormeño </w:t>
    </w:r>
    <w:proofErr w:type="spellStart"/>
    <w:r>
      <w:rPr>
        <w:rFonts w:ascii="Prompt" w:hAnsi="Prompt" w:cs="Prompt"/>
        <w:color w:val="1C4894"/>
        <w:sz w:val="16"/>
        <w:szCs w:val="16"/>
      </w:rPr>
      <w:t>Yomona</w:t>
    </w:r>
    <w:proofErr w:type="spellEnd"/>
    <w:r>
      <w:rPr>
        <w:rFonts w:ascii="Prompt" w:hAnsi="Prompt" w:cs="Prompt"/>
        <w:color w:val="1C4894"/>
        <w:sz w:val="16"/>
        <w:szCs w:val="16"/>
      </w:rPr>
      <w:t xml:space="preserve">, K., </w:t>
    </w:r>
    <w:r w:rsidRPr="00B62AE9">
      <w:rPr>
        <w:rFonts w:ascii="Prompt" w:hAnsi="Prompt" w:cs="Prompt"/>
        <w:color w:val="1C4894"/>
        <w:sz w:val="16"/>
        <w:szCs w:val="16"/>
      </w:rPr>
      <w:t>Nina-Cuchillo</w:t>
    </w:r>
    <w:r>
      <w:rPr>
        <w:rFonts w:ascii="Prompt" w:hAnsi="Prompt" w:cs="Prompt"/>
        <w:color w:val="1C4894"/>
        <w:sz w:val="16"/>
        <w:szCs w:val="16"/>
      </w:rPr>
      <w:t xml:space="preserve">, J., &amp; </w:t>
    </w:r>
    <w:r w:rsidRPr="00B62AE9">
      <w:rPr>
        <w:rFonts w:ascii="Prompt" w:hAnsi="Prompt" w:cs="Prompt"/>
        <w:color w:val="1C4894"/>
        <w:sz w:val="16"/>
        <w:szCs w:val="16"/>
      </w:rPr>
      <w:t>Sánchez Aguirre</w:t>
    </w:r>
    <w:r>
      <w:rPr>
        <w:rFonts w:ascii="Prompt" w:hAnsi="Prompt" w:cs="Prompt"/>
        <w:color w:val="1C4894"/>
        <w:sz w:val="16"/>
        <w:szCs w:val="16"/>
      </w:rPr>
      <w:t xml:space="preserve">, F. (2025). </w:t>
    </w:r>
    <w:r w:rsidRPr="00B62AE9">
      <w:rPr>
        <w:rFonts w:ascii="Prompt" w:hAnsi="Prompt" w:cs="Prompt"/>
        <w:color w:val="1C4894"/>
        <w:sz w:val="16"/>
        <w:szCs w:val="16"/>
      </w:rPr>
      <w:t>Impacto de la contratación pública en la gestión de proyectos en Latinoamérica: una revisión sistemática</w:t>
    </w:r>
    <w:r>
      <w:rPr>
        <w:rFonts w:ascii="Prompt" w:hAnsi="Prompt" w:cs="Prompt"/>
        <w:color w:val="1C4894"/>
        <w:sz w:val="16"/>
        <w:szCs w:val="16"/>
      </w:rPr>
      <w:t xml:space="preserve">. </w:t>
    </w:r>
    <w:r w:rsidRPr="00627E06">
      <w:rPr>
        <w:rFonts w:ascii="Prompt" w:hAnsi="Prompt" w:cs="Prompt"/>
        <w:i/>
        <w:iCs/>
        <w:color w:val="1C4894"/>
        <w:sz w:val="16"/>
        <w:szCs w:val="16"/>
      </w:rPr>
      <w:t>Revista InveCom, 5</w:t>
    </w:r>
    <w:r w:rsidRPr="00627E06">
      <w:rPr>
        <w:rFonts w:ascii="Prompt" w:hAnsi="Prompt" w:cs="Prompt"/>
        <w:color w:val="1C4894"/>
        <w:sz w:val="16"/>
        <w:szCs w:val="16"/>
      </w:rPr>
      <w:t>(</w:t>
    </w:r>
    <w:r>
      <w:rPr>
        <w:rFonts w:ascii="Prompt" w:hAnsi="Prompt" w:cs="Prompt"/>
        <w:color w:val="1C4894"/>
        <w:sz w:val="16"/>
        <w:szCs w:val="16"/>
      </w:rPr>
      <w:t>4</w:t>
    </w:r>
    <w:r w:rsidRPr="00627E06">
      <w:rPr>
        <w:rFonts w:ascii="Prompt" w:hAnsi="Prompt" w:cs="Prompt"/>
        <w:color w:val="1C4894"/>
        <w:sz w:val="16"/>
        <w:szCs w:val="16"/>
      </w:rPr>
      <w:t xml:space="preserve">). </w:t>
    </w:r>
    <w:r>
      <w:rPr>
        <w:rFonts w:ascii="Prompt" w:hAnsi="Prompt" w:cs="Prompt"/>
        <w:color w:val="1C4894"/>
        <w:sz w:val="16"/>
        <w:szCs w:val="16"/>
      </w:rPr>
      <w:t xml:space="preserve">1-10. </w:t>
    </w:r>
  </w:p>
  <w:p w14:paraId="3818E57E" w14:textId="77777777" w:rsidR="00AF54DE" w:rsidRPr="002D2ADB" w:rsidRDefault="00AF54DE"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5809F49F" wp14:editId="10FA52F4">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F0206C0"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6E4D1049" wp14:editId="1D76C2D3">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605CF2"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ED2701" w:rsidRPr="00ED2701">
      <w:rPr>
        <w:rFonts w:ascii="Prompt" w:hAnsi="Prompt" w:cs="Prompt"/>
        <w:noProof/>
        <w:color w:val="FFFFFF"/>
        <w:sz w:val="28"/>
        <w:szCs w:val="28"/>
        <w:lang w:val="es-ES"/>
      </w:rPr>
      <w:t>10</w:t>
    </w:r>
    <w:r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B166" w14:textId="77777777" w:rsidR="00AF54DE" w:rsidRDefault="00AF54DE">
    <w:pPr>
      <w:pStyle w:val="Piedepgina"/>
      <w:jc w:val="right"/>
    </w:pPr>
  </w:p>
  <w:p w14:paraId="74218240" w14:textId="77777777" w:rsidR="00AF54DE" w:rsidRDefault="00AF54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A6F32" w14:textId="77777777" w:rsidR="00A324D1" w:rsidRDefault="00A324D1" w:rsidP="00683E7D">
      <w:pPr>
        <w:spacing w:after="0" w:line="240" w:lineRule="auto"/>
      </w:pPr>
      <w:r>
        <w:separator/>
      </w:r>
    </w:p>
  </w:footnote>
  <w:footnote w:type="continuationSeparator" w:id="0">
    <w:p w14:paraId="1F208C1E" w14:textId="77777777" w:rsidR="00A324D1" w:rsidRDefault="00A324D1" w:rsidP="00683E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F1D"/>
    <w:rsid w:val="000114AE"/>
    <w:rsid w:val="000529D8"/>
    <w:rsid w:val="00053251"/>
    <w:rsid w:val="00055B67"/>
    <w:rsid w:val="00070288"/>
    <w:rsid w:val="00083D90"/>
    <w:rsid w:val="00111DD2"/>
    <w:rsid w:val="00143957"/>
    <w:rsid w:val="001443AC"/>
    <w:rsid w:val="00155C54"/>
    <w:rsid w:val="001844A0"/>
    <w:rsid w:val="001A7F1D"/>
    <w:rsid w:val="001E2D02"/>
    <w:rsid w:val="00227065"/>
    <w:rsid w:val="00251FAF"/>
    <w:rsid w:val="00280FF4"/>
    <w:rsid w:val="002C6E3D"/>
    <w:rsid w:val="002D2ADB"/>
    <w:rsid w:val="002E4A19"/>
    <w:rsid w:val="003356D1"/>
    <w:rsid w:val="00382D16"/>
    <w:rsid w:val="003B162A"/>
    <w:rsid w:val="003C395B"/>
    <w:rsid w:val="003F101E"/>
    <w:rsid w:val="00461AE1"/>
    <w:rsid w:val="00464628"/>
    <w:rsid w:val="00470DBF"/>
    <w:rsid w:val="00491C48"/>
    <w:rsid w:val="004D4964"/>
    <w:rsid w:val="00593A9A"/>
    <w:rsid w:val="005E7AC1"/>
    <w:rsid w:val="00615726"/>
    <w:rsid w:val="00620B13"/>
    <w:rsid w:val="00627E06"/>
    <w:rsid w:val="00642908"/>
    <w:rsid w:val="00660156"/>
    <w:rsid w:val="00681B14"/>
    <w:rsid w:val="00683E7D"/>
    <w:rsid w:val="0069668E"/>
    <w:rsid w:val="00697693"/>
    <w:rsid w:val="006A7AA2"/>
    <w:rsid w:val="007150CB"/>
    <w:rsid w:val="00717F0C"/>
    <w:rsid w:val="007352BA"/>
    <w:rsid w:val="007877FE"/>
    <w:rsid w:val="007A199B"/>
    <w:rsid w:val="007B5C74"/>
    <w:rsid w:val="007C2F8A"/>
    <w:rsid w:val="00802B39"/>
    <w:rsid w:val="00824E2F"/>
    <w:rsid w:val="0085611B"/>
    <w:rsid w:val="00860E7D"/>
    <w:rsid w:val="00876224"/>
    <w:rsid w:val="008F03B5"/>
    <w:rsid w:val="008F2439"/>
    <w:rsid w:val="009024DB"/>
    <w:rsid w:val="00916802"/>
    <w:rsid w:val="0092094D"/>
    <w:rsid w:val="00921D72"/>
    <w:rsid w:val="009447C3"/>
    <w:rsid w:val="0098308C"/>
    <w:rsid w:val="0098556A"/>
    <w:rsid w:val="00994001"/>
    <w:rsid w:val="009B1897"/>
    <w:rsid w:val="009B2A0B"/>
    <w:rsid w:val="009C1C68"/>
    <w:rsid w:val="009D505C"/>
    <w:rsid w:val="00A17E32"/>
    <w:rsid w:val="00A324D1"/>
    <w:rsid w:val="00A8117F"/>
    <w:rsid w:val="00A85212"/>
    <w:rsid w:val="00AE25E2"/>
    <w:rsid w:val="00AE66C9"/>
    <w:rsid w:val="00AF54DE"/>
    <w:rsid w:val="00B01F07"/>
    <w:rsid w:val="00B1415C"/>
    <w:rsid w:val="00B2525B"/>
    <w:rsid w:val="00B474ED"/>
    <w:rsid w:val="00B50DF0"/>
    <w:rsid w:val="00B51632"/>
    <w:rsid w:val="00B56396"/>
    <w:rsid w:val="00B62AE9"/>
    <w:rsid w:val="00BD65DF"/>
    <w:rsid w:val="00BF337B"/>
    <w:rsid w:val="00BF421D"/>
    <w:rsid w:val="00C65BA7"/>
    <w:rsid w:val="00CB3665"/>
    <w:rsid w:val="00CB40DD"/>
    <w:rsid w:val="00CC2434"/>
    <w:rsid w:val="00CE3323"/>
    <w:rsid w:val="00CF1F1C"/>
    <w:rsid w:val="00D36404"/>
    <w:rsid w:val="00D43043"/>
    <w:rsid w:val="00D47DF0"/>
    <w:rsid w:val="00D50C4E"/>
    <w:rsid w:val="00DE6601"/>
    <w:rsid w:val="00E14C58"/>
    <w:rsid w:val="00E271E2"/>
    <w:rsid w:val="00ED2701"/>
    <w:rsid w:val="00EF28BE"/>
    <w:rsid w:val="00F04A38"/>
    <w:rsid w:val="00F763D7"/>
    <w:rsid w:val="00FA1E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980B1"/>
  <w15:chartTrackingRefBased/>
  <w15:docId w15:val="{5E8DAD53-0213-4EE9-AB3E-6EBCD5CDC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table" w:styleId="Tablanormal2">
    <w:name w:val="Plain Table 2"/>
    <w:basedOn w:val="Tablanormal"/>
    <w:uiPriority w:val="42"/>
    <w:rsid w:val="00B62AE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Revista%20INVECOM\PLANTILLA%20(Revista%20INVECOM).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63AD-4B14-4308-B29A-DE3A00B7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(Revista INVECOM)</Template>
  <TotalTime>403</TotalTime>
  <Pages>10</Pages>
  <Words>23397</Words>
  <Characters>128688</Characters>
  <Application>Microsoft Office Word</Application>
  <DocSecurity>0</DocSecurity>
  <Lines>1072</Lines>
  <Paragraphs>303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151782</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Valentina M. Rodiguez Hernández</cp:lastModifiedBy>
  <cp:revision>9</cp:revision>
  <dcterms:created xsi:type="dcterms:W3CDTF">2025-03-24T22:18:00Z</dcterms:created>
  <dcterms:modified xsi:type="dcterms:W3CDTF">2025-03-26T16:54:00Z</dcterms:modified>
</cp:coreProperties>
</file>